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柳州市“抗疫情、促消费、稳增长”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消费券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发放工作方案（征求意见稿）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为贯彻落实柳州市委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市政府关于“抗疫情、促消费、稳增长”复工复产复市的决策部署，提振市民消费信心，释放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消费潜力，促进消费增长，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决定面向全体在柳人员开展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抗疫情、促消费、稳增长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消费券发放活动,该活动由中国建设银行股份有限公司柳州分行</w:t>
      </w:r>
      <w:r>
        <w:rPr>
          <w:rFonts w:hint="eastAsia" w:ascii="仿宋_GB2312" w:hAnsi="仿宋_GB2312" w:eastAsia="仿宋_GB2312" w:cs="仿宋_GB2312"/>
          <w:sz w:val="32"/>
          <w:szCs w:val="32"/>
        </w:rPr>
        <w:t>和柳州银行承办。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消费券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金额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2000万元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发放方式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平台发券。统一在龙城市民云APP发券，消费者登陆龙城市民云领券。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活动时间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2020年11月16日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12月31日（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最终启动时间以活动上线为准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活动目标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按照“政府补贴一点、商家让利一点、银行支持一点”的原则，激发市民消费热情，力争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直接拉动消费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6亿元，间接拉动消费20亿元。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使用范围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餐饮、汽车、商超、百货等重点消费领域（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拟参加活动企业名单见附件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活动规则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消费券组成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消费券分餐饮券、汽车券、商超券、百货券四种。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餐饮券设5元、20元、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元面额消费券，在餐饮行业单笔消费满20元可使用5元消费券，单笔消费满50元可使用10元消费券，单笔消费满200元可使用40元消费券。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汽车券设1000元、2000元、3000元面额消费券，在汽车行业单笔消费满2万元不足5万元可使用1000元消费券，单笔满5万元不足10万元可使用2000元消费券，单笔满10万元可使用3000元消费券。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商超券设5元、10元、20元面额消费券，在商超行业单笔消费满20元可使用5元消费券，单笔消费满50元可使用10元消费券，单笔消费满100元可使用20元消费券。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百货券设20元、40元、80元、200元面额消费券，在百货行业单笔消费满100元可使用20元消费券，单笔消费满200元可使用40元消费券，单笔消费满500元可使用80元消费券，单笔消费满1000元可使用200元消费券。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二）消费券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发放方式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在龙城市民云设消费券活动专区，消费者点击进入龙城市民云APP消费券发放活动页面申领消费券。消费券分时段发放，每人每天每种面额最多可申领一次。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三）消费券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使用规则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消费者领券后可在参与活动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进行消费，满足消费券使用金额条件，消费券自动抵扣相应金额。消费者每笔交易只能使用一张消费券，每天在同一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只能使用一张消费券。在活动期内每人只能使用一张汽车消费券。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四）消费券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发放时间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2020年11月16日起每天上午9:00开始发放，如申领消费券后7天内未使用，消费券自动失效（具体时间以平台实际发放为准）。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7797" w:type="dxa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44"/>
        <w:gridCol w:w="1958"/>
        <w:gridCol w:w="226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券别（元）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发放数量（张）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发放金额（万元）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餐饮类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2020年11月16至12月31日平均投放至每个活动日，后期根据前期领券未使用情况加大投放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2、各类型消费券具体发放券别、数量、金额可根据活动开展的具体情况进行调整。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汽车类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商超类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百货类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彩虹粗仿宋" w:hAnsi="等线" w:eastAsia="彩虹粗仿宋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核券方式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为确保消费真实性，承办银行根据核券行业为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提供智能POS，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直接扫码核券，联动收取剩余消费金额。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邀约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承办银行根据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）负责邀约餐饮、汽车、商超、百货行业参与活动,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签订特约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对活动方案及领券、核券流程开展学习，确保活动顺利进行。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活动宣传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推广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柳州市商务局负责向各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发送活动通知及在各政府网站媒体发布活动宣传。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柳州市大数据发展局协调在龙城市民云APP开放接口上架活动专区，组织市民参与领券消费活动。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承办银行投入50万元费用在当地主流报纸和网络APP开展宣传，利用银行平台优势向客户群体客户短信推送活动宣传内容，分别为参与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统一制作宣传物料。同时组织好各商家参与本次促销活动，在活动前组织商家对各自产品做好让利宣传，经让利后再配合消费券的使用，达到让利叠加效果，进一步刺激消费。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九、承办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银行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叠加促销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承办银行出资为参与本次活动的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额外提供消费满额立减优惠活动。消费者持建行信用卡在餐饮业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单笔刷卡消费满200元立减30元（消费者实际支付130元），活动期内消费者可享受2次优惠，满额即止。消费者通过云闪付使用柳州银行卡在活动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消费满50元立减18元，活动期内消费者可享受2次优惠，满额即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资金来源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市财政安排资金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2000万元作为经费预算，保障本方案推动落实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资金结算方式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柳州市商务局与承办银行签订消费券发放合作协议，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承办银行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开立内部账户专用于消费券资金管理使用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将消费券资金转至该账户，按消费券实际核销金额核算。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柳州市财政局负责指导和监督“抗疫情、促消费、稳增长”消费券资金的使用。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承办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银行负责提供核销数据报表，包括消费券发放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量、核销量、各商家核销明细等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负责为活动参与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免费提供收单设备，包括POS、扫码盒子、二维码牌等，指导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开展核券工作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；为企业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制作活动宣传物料，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营造整体消费氛围；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为提高消费者和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领券、核券效率，借鉴外省发放消费券成功案例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，承办银行将</w:t>
      </w:r>
      <w:r>
        <w:rPr>
          <w:rFonts w:hint="eastAsia" w:ascii="仿宋_GB2312" w:hAnsi="仿宋_GB2312" w:eastAsia="仿宋_GB2312" w:cs="仿宋_GB2312"/>
          <w:sz w:val="32"/>
          <w:szCs w:val="32"/>
        </w:rPr>
        <w:t>引入银行金融科技公司开发核券系统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，并按照按券数量收取一定比例的服务费。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十二、拉动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消费测算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按餐饮行业发放400万元消费券，预计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直接拉动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消费5000万元；汽车行业发放800万元消费券，预计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直接拉动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商超百货发放800万消费券计算，预计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直接拉动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消费10000万元。合计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直接拉动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000万元。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B6"/>
    <w:rsid w:val="000028DC"/>
    <w:rsid w:val="00016BD5"/>
    <w:rsid w:val="000408EA"/>
    <w:rsid w:val="00041529"/>
    <w:rsid w:val="00092BB5"/>
    <w:rsid w:val="000B06EA"/>
    <w:rsid w:val="000B2FC1"/>
    <w:rsid w:val="000B3639"/>
    <w:rsid w:val="000B7156"/>
    <w:rsid w:val="000F4169"/>
    <w:rsid w:val="00116818"/>
    <w:rsid w:val="00142447"/>
    <w:rsid w:val="00160D47"/>
    <w:rsid w:val="001A68E9"/>
    <w:rsid w:val="001C4394"/>
    <w:rsid w:val="001D745B"/>
    <w:rsid w:val="001F2265"/>
    <w:rsid w:val="001F2409"/>
    <w:rsid w:val="00204971"/>
    <w:rsid w:val="00210F15"/>
    <w:rsid w:val="0021126F"/>
    <w:rsid w:val="00227F25"/>
    <w:rsid w:val="002370DD"/>
    <w:rsid w:val="002406F0"/>
    <w:rsid w:val="00243821"/>
    <w:rsid w:val="0025548A"/>
    <w:rsid w:val="00256CD0"/>
    <w:rsid w:val="00260D91"/>
    <w:rsid w:val="00267869"/>
    <w:rsid w:val="002B0393"/>
    <w:rsid w:val="003163A8"/>
    <w:rsid w:val="00342A6C"/>
    <w:rsid w:val="00346AEE"/>
    <w:rsid w:val="00352EA7"/>
    <w:rsid w:val="00360C7C"/>
    <w:rsid w:val="00362FB6"/>
    <w:rsid w:val="003E638C"/>
    <w:rsid w:val="003F3231"/>
    <w:rsid w:val="003F74F7"/>
    <w:rsid w:val="004009E0"/>
    <w:rsid w:val="00422EFD"/>
    <w:rsid w:val="00423B4E"/>
    <w:rsid w:val="0045209C"/>
    <w:rsid w:val="00483F93"/>
    <w:rsid w:val="00492DF7"/>
    <w:rsid w:val="004D43B1"/>
    <w:rsid w:val="004D6270"/>
    <w:rsid w:val="004D7D20"/>
    <w:rsid w:val="004E6067"/>
    <w:rsid w:val="004F03A1"/>
    <w:rsid w:val="00521A25"/>
    <w:rsid w:val="00521B4D"/>
    <w:rsid w:val="00567F81"/>
    <w:rsid w:val="00574F1B"/>
    <w:rsid w:val="00585191"/>
    <w:rsid w:val="005950A1"/>
    <w:rsid w:val="005A1427"/>
    <w:rsid w:val="005A1749"/>
    <w:rsid w:val="005A7A61"/>
    <w:rsid w:val="005D7048"/>
    <w:rsid w:val="005D7956"/>
    <w:rsid w:val="005E2A7B"/>
    <w:rsid w:val="005E32DB"/>
    <w:rsid w:val="005E68D8"/>
    <w:rsid w:val="00632255"/>
    <w:rsid w:val="006345B5"/>
    <w:rsid w:val="00637834"/>
    <w:rsid w:val="0064084B"/>
    <w:rsid w:val="006A371F"/>
    <w:rsid w:val="006D07F7"/>
    <w:rsid w:val="006F3D06"/>
    <w:rsid w:val="006F69F4"/>
    <w:rsid w:val="00733CBE"/>
    <w:rsid w:val="00742F23"/>
    <w:rsid w:val="00776878"/>
    <w:rsid w:val="00797EF2"/>
    <w:rsid w:val="007C7982"/>
    <w:rsid w:val="007F0F2B"/>
    <w:rsid w:val="007F168F"/>
    <w:rsid w:val="007F6F63"/>
    <w:rsid w:val="008050A4"/>
    <w:rsid w:val="00812D07"/>
    <w:rsid w:val="00820B2D"/>
    <w:rsid w:val="0084228E"/>
    <w:rsid w:val="00852030"/>
    <w:rsid w:val="00862F54"/>
    <w:rsid w:val="00877708"/>
    <w:rsid w:val="00893A90"/>
    <w:rsid w:val="008B2430"/>
    <w:rsid w:val="00914EB2"/>
    <w:rsid w:val="0091750B"/>
    <w:rsid w:val="00917581"/>
    <w:rsid w:val="00917F99"/>
    <w:rsid w:val="00935557"/>
    <w:rsid w:val="00937117"/>
    <w:rsid w:val="0097119D"/>
    <w:rsid w:val="00976DF1"/>
    <w:rsid w:val="00990D11"/>
    <w:rsid w:val="009C42A5"/>
    <w:rsid w:val="009D5664"/>
    <w:rsid w:val="009F7B0F"/>
    <w:rsid w:val="00A00991"/>
    <w:rsid w:val="00A04D32"/>
    <w:rsid w:val="00A1045E"/>
    <w:rsid w:val="00A11C5B"/>
    <w:rsid w:val="00A21129"/>
    <w:rsid w:val="00A26142"/>
    <w:rsid w:val="00A32EE7"/>
    <w:rsid w:val="00A423BD"/>
    <w:rsid w:val="00A651B1"/>
    <w:rsid w:val="00A93855"/>
    <w:rsid w:val="00AB087F"/>
    <w:rsid w:val="00AB4244"/>
    <w:rsid w:val="00AB50B6"/>
    <w:rsid w:val="00AD6411"/>
    <w:rsid w:val="00B07B8C"/>
    <w:rsid w:val="00B427F5"/>
    <w:rsid w:val="00B534D3"/>
    <w:rsid w:val="00BB6742"/>
    <w:rsid w:val="00BD3DD7"/>
    <w:rsid w:val="00C03097"/>
    <w:rsid w:val="00C1112E"/>
    <w:rsid w:val="00C21C76"/>
    <w:rsid w:val="00C445AA"/>
    <w:rsid w:val="00C61EB4"/>
    <w:rsid w:val="00CB002B"/>
    <w:rsid w:val="00CB7AF5"/>
    <w:rsid w:val="00CC70DB"/>
    <w:rsid w:val="00CD7848"/>
    <w:rsid w:val="00CF7A77"/>
    <w:rsid w:val="00D07703"/>
    <w:rsid w:val="00D07DC6"/>
    <w:rsid w:val="00D132C4"/>
    <w:rsid w:val="00D317F6"/>
    <w:rsid w:val="00D3277D"/>
    <w:rsid w:val="00D4005E"/>
    <w:rsid w:val="00D42691"/>
    <w:rsid w:val="00D51566"/>
    <w:rsid w:val="00D93792"/>
    <w:rsid w:val="00DB1C10"/>
    <w:rsid w:val="00DB27D5"/>
    <w:rsid w:val="00DE5E28"/>
    <w:rsid w:val="00DF1752"/>
    <w:rsid w:val="00DF3813"/>
    <w:rsid w:val="00DF3E17"/>
    <w:rsid w:val="00DF6FE7"/>
    <w:rsid w:val="00E03C40"/>
    <w:rsid w:val="00E27D3B"/>
    <w:rsid w:val="00E35B5B"/>
    <w:rsid w:val="00E401BE"/>
    <w:rsid w:val="00E42A49"/>
    <w:rsid w:val="00E64527"/>
    <w:rsid w:val="00E65564"/>
    <w:rsid w:val="00E81DBA"/>
    <w:rsid w:val="00E8510C"/>
    <w:rsid w:val="00EA7BAB"/>
    <w:rsid w:val="00EA7DBE"/>
    <w:rsid w:val="00EC3E6C"/>
    <w:rsid w:val="00ED5A90"/>
    <w:rsid w:val="00EE06B6"/>
    <w:rsid w:val="00EE1A72"/>
    <w:rsid w:val="00EE75F2"/>
    <w:rsid w:val="00EF01D9"/>
    <w:rsid w:val="00F03B96"/>
    <w:rsid w:val="00F27CE7"/>
    <w:rsid w:val="00F346C3"/>
    <w:rsid w:val="00F43E3F"/>
    <w:rsid w:val="00F56EE1"/>
    <w:rsid w:val="00FA5F97"/>
    <w:rsid w:val="00FE450F"/>
    <w:rsid w:val="00FF084D"/>
    <w:rsid w:val="01B5205E"/>
    <w:rsid w:val="057B7741"/>
    <w:rsid w:val="077B7BFD"/>
    <w:rsid w:val="08326DFB"/>
    <w:rsid w:val="08D90875"/>
    <w:rsid w:val="09596B30"/>
    <w:rsid w:val="0C5243E1"/>
    <w:rsid w:val="0CD74EE5"/>
    <w:rsid w:val="0F795671"/>
    <w:rsid w:val="15BA7B4E"/>
    <w:rsid w:val="16BC0D42"/>
    <w:rsid w:val="16CD76F8"/>
    <w:rsid w:val="180B60F2"/>
    <w:rsid w:val="190D204A"/>
    <w:rsid w:val="1A2207C1"/>
    <w:rsid w:val="1BF943DD"/>
    <w:rsid w:val="20B221F4"/>
    <w:rsid w:val="21BF08B3"/>
    <w:rsid w:val="22EB4E2F"/>
    <w:rsid w:val="23F55870"/>
    <w:rsid w:val="26B9047D"/>
    <w:rsid w:val="274643CE"/>
    <w:rsid w:val="27DE3199"/>
    <w:rsid w:val="2A412E7E"/>
    <w:rsid w:val="2ED94EAF"/>
    <w:rsid w:val="31011C74"/>
    <w:rsid w:val="31715EE4"/>
    <w:rsid w:val="329976E8"/>
    <w:rsid w:val="341458C8"/>
    <w:rsid w:val="34AB2191"/>
    <w:rsid w:val="377861CC"/>
    <w:rsid w:val="37B87D33"/>
    <w:rsid w:val="390B327C"/>
    <w:rsid w:val="39B3392A"/>
    <w:rsid w:val="3A814599"/>
    <w:rsid w:val="3C882455"/>
    <w:rsid w:val="3F9202FD"/>
    <w:rsid w:val="42FC55D8"/>
    <w:rsid w:val="471C33F0"/>
    <w:rsid w:val="475A42B8"/>
    <w:rsid w:val="47CA187E"/>
    <w:rsid w:val="48E93AE2"/>
    <w:rsid w:val="4982004D"/>
    <w:rsid w:val="4B8B2740"/>
    <w:rsid w:val="4D727714"/>
    <w:rsid w:val="4DAA2A62"/>
    <w:rsid w:val="4E9914E0"/>
    <w:rsid w:val="4EA019F7"/>
    <w:rsid w:val="4FBD5943"/>
    <w:rsid w:val="52084D8B"/>
    <w:rsid w:val="54066C68"/>
    <w:rsid w:val="57DA73A2"/>
    <w:rsid w:val="5AEE201E"/>
    <w:rsid w:val="5B41452D"/>
    <w:rsid w:val="5DF70968"/>
    <w:rsid w:val="5E9C0499"/>
    <w:rsid w:val="601F573D"/>
    <w:rsid w:val="63395242"/>
    <w:rsid w:val="6AA905A5"/>
    <w:rsid w:val="6ABD115A"/>
    <w:rsid w:val="6AF97B89"/>
    <w:rsid w:val="6B4329F7"/>
    <w:rsid w:val="6E2E58F8"/>
    <w:rsid w:val="6EDA2C92"/>
    <w:rsid w:val="724F29C7"/>
    <w:rsid w:val="7316219C"/>
    <w:rsid w:val="746C462E"/>
    <w:rsid w:val="752F4C51"/>
    <w:rsid w:val="760D072C"/>
    <w:rsid w:val="7C5F7B93"/>
    <w:rsid w:val="7F0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364</Words>
  <Characters>2081</Characters>
  <Lines>17</Lines>
  <Paragraphs>4</Paragraphs>
  <TotalTime>2</TotalTime>
  <ScaleCrop>false</ScaleCrop>
  <LinksUpToDate>false</LinksUpToDate>
  <CharactersWithSpaces>2441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2020-10-11T02:15:00Z</dcterms:created>
  <dc:creator>荣力</dc:creator>
  <cp:lastModifiedBy>袁沁</cp:lastModifiedBy>
  <cp:lastPrinted>2020-11-01T01:01:00Z</cp:lastPrinted>
  <dcterms:modified xsi:type="dcterms:W3CDTF">2020-11-02T09:30:58Z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