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ind w:firstLine="0" w:firstLineChars="0"/>
        <w:jc w:val="left"/>
        <w:outlineLvl w:val="0"/>
        <w:rPr>
          <w:rFonts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附件9</w:t>
      </w:r>
    </w:p>
    <w:p>
      <w:pPr>
        <w:spacing w:before="156" w:after="156"/>
        <w:ind w:firstLine="0" w:firstLineChars="0"/>
        <w:jc w:val="center"/>
        <w:outlineLvl w:val="0"/>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广西电子商务示范企</w:t>
      </w:r>
      <w:r>
        <w:rPr>
          <w:rFonts w:hint="eastAsia" w:ascii="黑体" w:hAnsi="黑体" w:eastAsia="黑体" w:cs="黑体"/>
          <w:bCs/>
          <w:color w:val="000000" w:themeColor="text1"/>
          <w:sz w:val="32"/>
          <w:szCs w:val="32"/>
          <w:lang w:val="en-US" w:eastAsia="zh-CN"/>
          <w14:textFill>
            <w14:solidFill>
              <w14:schemeClr w14:val="tx1"/>
            </w14:solidFill>
          </w14:textFill>
        </w:rPr>
        <w:t>评价</w:t>
      </w:r>
      <w:r>
        <w:rPr>
          <w:rFonts w:hint="eastAsia" w:ascii="黑体" w:hAnsi="黑体" w:eastAsia="黑体" w:cs="黑体"/>
          <w:bCs/>
          <w:color w:val="000000" w:themeColor="text1"/>
          <w:sz w:val="32"/>
          <w:szCs w:val="32"/>
          <w14:textFill>
            <w14:solidFill>
              <w14:schemeClr w14:val="tx1"/>
            </w14:solidFill>
          </w14:textFill>
        </w:rPr>
        <w:t>指标体系</w:t>
      </w:r>
    </w:p>
    <w:tbl>
      <w:tblPr>
        <w:tblStyle w:val="6"/>
        <w:tblW w:w="0" w:type="auto"/>
        <w:jc w:val="center"/>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1708"/>
        <w:gridCol w:w="2075"/>
        <w:gridCol w:w="620"/>
        <w:gridCol w:w="5032"/>
        <w:gridCol w:w="2012"/>
        <w:gridCol w:w="1565"/>
      </w:tblGrid>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0" w:type="auto"/>
            <w:gridSpan w:val="7"/>
            <w:tcBorders>
              <w:tl2br w:val="nil"/>
              <w:tr2bl w:val="nil"/>
            </w:tcBorders>
            <w:shd w:val="clear" w:color="auto" w:fill="auto"/>
            <w:vAlign w:val="center"/>
          </w:tcPr>
          <w:p>
            <w:pPr>
              <w:widowControl/>
              <w:spacing w:before="156" w:after="156" w:line="280" w:lineRule="exact"/>
              <w:ind w:left="1054" w:hanging="1054" w:hangingChars="500"/>
              <w:jc w:val="center"/>
              <w:rPr>
                <w:rFonts w:cs="宋体"/>
                <w:b/>
                <w:bCs/>
                <w:color w:val="000000" w:themeColor="text1"/>
                <w:kern w:val="0"/>
                <w:sz w:val="21"/>
                <w:szCs w:val="21"/>
                <w14:textFill>
                  <w14:solidFill>
                    <w14:schemeClr w14:val="tx1"/>
                  </w14:solidFill>
                </w14:textFill>
              </w:rPr>
            </w:pPr>
            <w:r>
              <w:rPr>
                <w:rFonts w:hint="eastAsia" w:cs="宋体"/>
                <w:b/>
                <w:bCs/>
                <w:color w:val="000000" w:themeColor="text1"/>
                <w:kern w:val="0"/>
                <w:sz w:val="21"/>
                <w:szCs w:val="21"/>
                <w14:textFill>
                  <w14:solidFill>
                    <w14:schemeClr w14:val="tx1"/>
                  </w14:solidFill>
                </w14:textFill>
              </w:rPr>
              <w:t>指标说明：广西电子商务示范企业</w:t>
            </w:r>
            <w:r>
              <w:rPr>
                <w:rFonts w:hint="eastAsia" w:cs="宋体"/>
                <w:b/>
                <w:bCs/>
                <w:color w:val="000000" w:themeColor="text1"/>
                <w:kern w:val="0"/>
                <w:sz w:val="21"/>
                <w:szCs w:val="21"/>
                <w:lang w:val="en-US" w:eastAsia="zh-CN"/>
                <w14:textFill>
                  <w14:solidFill>
                    <w14:schemeClr w14:val="tx1"/>
                  </w14:solidFill>
                </w14:textFill>
              </w:rPr>
              <w:t>评价</w:t>
            </w:r>
            <w:r>
              <w:rPr>
                <w:rFonts w:hint="eastAsia" w:cs="宋体"/>
                <w:b/>
                <w:bCs/>
                <w:color w:val="000000" w:themeColor="text1"/>
                <w:kern w:val="0"/>
                <w:sz w:val="21"/>
                <w:szCs w:val="21"/>
                <w14:textFill>
                  <w14:solidFill>
                    <w14:schemeClr w14:val="tx1"/>
                  </w14:solidFill>
                </w14:textFill>
              </w:rPr>
              <w:t>主要从“经营能力”、“示范能力”、“带动能力”三个方面进行，</w:t>
            </w:r>
            <w:r>
              <w:rPr>
                <w:rFonts w:hint="eastAsia" w:cs="宋体"/>
                <w:b/>
                <w:bCs/>
                <w:color w:val="000000" w:themeColor="text1"/>
                <w:kern w:val="0"/>
                <w:sz w:val="21"/>
                <w:szCs w:val="21"/>
                <w:lang w:val="en-US" w:eastAsia="zh-CN"/>
                <w14:textFill>
                  <w14:solidFill>
                    <w14:schemeClr w14:val="tx1"/>
                  </w14:solidFill>
                </w14:textFill>
              </w:rPr>
              <w:t>由</w:t>
            </w:r>
            <w:r>
              <w:rPr>
                <w:rFonts w:hint="eastAsia" w:cs="宋体"/>
                <w:b/>
                <w:bCs/>
                <w:color w:val="000000" w:themeColor="text1"/>
                <w:kern w:val="0"/>
                <w:sz w:val="21"/>
                <w:szCs w:val="21"/>
                <w14:textFill>
                  <w14:solidFill>
                    <w14:schemeClr w14:val="tx1"/>
                  </w14:solidFill>
                </w14:textFill>
              </w:rPr>
              <w:t>共性评价部分</w:t>
            </w:r>
            <w:r>
              <w:rPr>
                <w:rFonts w:hint="eastAsia" w:cs="宋体"/>
                <w:b/>
                <w:bCs/>
                <w:color w:val="000000" w:themeColor="text1"/>
                <w:kern w:val="0"/>
                <w:sz w:val="21"/>
                <w:szCs w:val="21"/>
                <w:lang w:eastAsia="zh-CN"/>
                <w14:textFill>
                  <w14:solidFill>
                    <w14:schemeClr w14:val="tx1"/>
                  </w14:solidFill>
                </w14:textFill>
              </w:rPr>
              <w:t>（</w:t>
            </w:r>
            <w:r>
              <w:rPr>
                <w:rFonts w:hint="eastAsia" w:cs="宋体"/>
                <w:b/>
                <w:bCs/>
                <w:color w:val="000000" w:themeColor="text1"/>
                <w:kern w:val="0"/>
                <w:sz w:val="21"/>
                <w:szCs w:val="21"/>
                <w:lang w:val="en-US" w:eastAsia="zh-CN"/>
                <w14:textFill>
                  <w14:solidFill>
                    <w14:schemeClr w14:val="tx1"/>
                  </w14:solidFill>
                </w14:textFill>
              </w:rPr>
              <w:t>50分</w:t>
            </w:r>
            <w:r>
              <w:rPr>
                <w:rFonts w:hint="eastAsia" w:cs="宋体"/>
                <w:b/>
                <w:bCs/>
                <w:color w:val="000000" w:themeColor="text1"/>
                <w:kern w:val="0"/>
                <w:sz w:val="21"/>
                <w:szCs w:val="21"/>
                <w:lang w:eastAsia="zh-CN"/>
                <w14:textFill>
                  <w14:solidFill>
                    <w14:schemeClr w14:val="tx1"/>
                  </w14:solidFill>
                </w14:textFill>
              </w:rPr>
              <w:t>）</w:t>
            </w:r>
            <w:r>
              <w:rPr>
                <w:rFonts w:hint="eastAsia" w:cs="宋体"/>
                <w:b/>
                <w:bCs/>
                <w:color w:val="000000" w:themeColor="text1"/>
                <w:kern w:val="0"/>
                <w:sz w:val="21"/>
                <w:szCs w:val="21"/>
                <w14:textFill>
                  <w14:solidFill>
                    <w14:schemeClr w14:val="tx1"/>
                  </w14:solidFill>
                </w14:textFill>
              </w:rPr>
              <w:t>和企业分类评价部分</w:t>
            </w:r>
            <w:r>
              <w:rPr>
                <w:rFonts w:hint="eastAsia" w:cs="宋体"/>
                <w:b/>
                <w:bCs/>
                <w:color w:val="000000" w:themeColor="text1"/>
                <w:kern w:val="0"/>
                <w:sz w:val="21"/>
                <w:szCs w:val="21"/>
                <w:lang w:eastAsia="zh-CN"/>
                <w14:textFill>
                  <w14:solidFill>
                    <w14:schemeClr w14:val="tx1"/>
                  </w14:solidFill>
                </w14:textFill>
              </w:rPr>
              <w:t>（</w:t>
            </w:r>
            <w:r>
              <w:rPr>
                <w:rFonts w:hint="eastAsia" w:cs="宋体"/>
                <w:b/>
                <w:bCs/>
                <w:color w:val="000000" w:themeColor="text1"/>
                <w:kern w:val="0"/>
                <w:sz w:val="21"/>
                <w:szCs w:val="21"/>
                <w:lang w:val="en-US" w:eastAsia="zh-CN"/>
                <w14:textFill>
                  <w14:solidFill>
                    <w14:schemeClr w14:val="tx1"/>
                  </w14:solidFill>
                </w14:textFill>
              </w:rPr>
              <w:t>50分</w:t>
            </w:r>
            <w:r>
              <w:rPr>
                <w:rFonts w:hint="eastAsia" w:cs="宋体"/>
                <w:b/>
                <w:bCs/>
                <w:color w:val="000000" w:themeColor="text1"/>
                <w:kern w:val="0"/>
                <w:sz w:val="21"/>
                <w:szCs w:val="21"/>
                <w:lang w:eastAsia="zh-CN"/>
                <w14:textFill>
                  <w14:solidFill>
                    <w14:schemeClr w14:val="tx1"/>
                  </w14:solidFill>
                </w14:textFill>
              </w:rPr>
              <w:t>）</w:t>
            </w:r>
            <w:r>
              <w:rPr>
                <w:rFonts w:hint="eastAsia" w:cs="宋体"/>
                <w:b/>
                <w:bCs/>
                <w:color w:val="000000" w:themeColor="text1"/>
                <w:kern w:val="0"/>
                <w:sz w:val="21"/>
                <w:szCs w:val="21"/>
                <w:lang w:val="en-US" w:eastAsia="zh-CN"/>
                <w14:textFill>
                  <w14:solidFill>
                    <w14:schemeClr w14:val="tx1"/>
                  </w14:solidFill>
                </w14:textFill>
              </w:rPr>
              <w:t>组成</w:t>
            </w:r>
            <w:r>
              <w:rPr>
                <w:rFonts w:hint="eastAsia" w:cs="宋体"/>
                <w:b/>
                <w:bCs/>
                <w:color w:val="000000" w:themeColor="text1"/>
                <w:kern w:val="0"/>
                <w:sz w:val="21"/>
                <w:szCs w:val="21"/>
                <w14:textFill>
                  <w14:solidFill>
                    <w14:schemeClr w14:val="tx1"/>
                  </w14:solidFill>
                </w14:textFill>
              </w:rPr>
              <w:t>，</w:t>
            </w:r>
            <w:r>
              <w:rPr>
                <w:rFonts w:hint="eastAsia" w:cs="宋体"/>
                <w:b/>
                <w:bCs/>
                <w:color w:val="000000" w:themeColor="text1"/>
                <w:kern w:val="0"/>
                <w:sz w:val="21"/>
                <w:szCs w:val="21"/>
                <w:lang w:val="en-US" w:eastAsia="zh-CN"/>
                <w14:textFill>
                  <w14:solidFill>
                    <w14:schemeClr w14:val="tx1"/>
                  </w14:solidFill>
                </w14:textFill>
              </w:rPr>
              <w:t>总分100分。</w:t>
            </w:r>
            <w:r>
              <w:rPr>
                <w:rFonts w:hint="eastAsia" w:cs="宋体"/>
                <w:b/>
                <w:bCs/>
                <w:color w:val="000000" w:themeColor="text1"/>
                <w:kern w:val="0"/>
                <w:sz w:val="21"/>
                <w:szCs w:val="21"/>
                <w14:textFill>
                  <w14:solidFill>
                    <w14:schemeClr w14:val="tx1"/>
                  </w14:solidFill>
                </w14:textFill>
              </w:rPr>
              <w:t>其中</w:t>
            </w:r>
            <w:r>
              <w:rPr>
                <w:rFonts w:hint="eastAsia" w:cs="宋体"/>
                <w:b/>
                <w:bCs/>
                <w:color w:val="000000" w:themeColor="text1"/>
                <w:kern w:val="0"/>
                <w:sz w:val="21"/>
                <w:szCs w:val="21"/>
                <w:lang w:val="en-US" w:eastAsia="zh-CN"/>
                <w14:textFill>
                  <w14:solidFill>
                    <w14:schemeClr w14:val="tx1"/>
                  </w14:solidFill>
                </w14:textFill>
              </w:rPr>
              <w:t>共性评价指标所有申报企业必选</w:t>
            </w:r>
            <w:r>
              <w:rPr>
                <w:rFonts w:hint="eastAsia" w:cs="宋体"/>
                <w:b/>
                <w:bCs/>
                <w:color w:val="000000" w:themeColor="text1"/>
                <w:kern w:val="0"/>
                <w:sz w:val="21"/>
                <w:szCs w:val="21"/>
                <w14:textFill>
                  <w14:solidFill>
                    <w14:schemeClr w14:val="tx1"/>
                  </w14:solidFill>
                </w14:textFill>
              </w:rPr>
              <w:t>，分类评价</w:t>
            </w:r>
            <w:r>
              <w:rPr>
                <w:rFonts w:hint="eastAsia" w:cs="宋体"/>
                <w:b/>
                <w:bCs/>
                <w:color w:val="000000" w:themeColor="text1"/>
                <w:kern w:val="0"/>
                <w:sz w:val="21"/>
                <w:szCs w:val="21"/>
                <w:lang w:val="en-US" w:eastAsia="zh-CN"/>
                <w14:textFill>
                  <w14:solidFill>
                    <w14:schemeClr w14:val="tx1"/>
                  </w14:solidFill>
                </w14:textFill>
              </w:rPr>
              <w:t>指标</w:t>
            </w:r>
            <w:r>
              <w:rPr>
                <w:rFonts w:hint="eastAsia" w:cs="宋体"/>
                <w:b/>
                <w:bCs/>
                <w:color w:val="000000" w:themeColor="text1"/>
                <w:kern w:val="0"/>
                <w:sz w:val="21"/>
                <w:szCs w:val="21"/>
                <w14:textFill>
                  <w14:solidFill>
                    <w14:schemeClr w14:val="tx1"/>
                  </w14:solidFill>
                </w14:textFill>
              </w:rPr>
              <w:t>部分适用于申报该类示范的企业。</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0" w:type="auto"/>
            <w:gridSpan w:val="7"/>
            <w:tcBorders>
              <w:tl2br w:val="nil"/>
              <w:tr2bl w:val="nil"/>
            </w:tcBorders>
            <w:shd w:val="clear" w:color="auto" w:fill="auto"/>
            <w:vAlign w:val="center"/>
          </w:tcPr>
          <w:p>
            <w:pPr>
              <w:widowControl/>
              <w:spacing w:before="156" w:after="156" w:line="280" w:lineRule="exact"/>
              <w:ind w:firstLine="562"/>
              <w:jc w:val="center"/>
              <w:rPr>
                <w:rFonts w:hint="default" w:ascii="黑体" w:hAnsi="黑体" w:eastAsia="黑体" w:cs="宋体"/>
                <w:b/>
                <w:bCs/>
                <w:color w:val="000000" w:themeColor="text1"/>
                <w:kern w:val="0"/>
                <w:lang w:val="en-US" w:eastAsia="zh-CN"/>
                <w14:textFill>
                  <w14:solidFill>
                    <w14:schemeClr w14:val="tx1"/>
                  </w14:solidFill>
                </w14:textFill>
              </w:rPr>
            </w:pPr>
            <w:r>
              <w:rPr>
                <w:rFonts w:hint="eastAsia" w:ascii="黑体" w:hAnsi="黑体" w:eastAsia="黑体" w:cs="宋体"/>
                <w:b/>
                <w:bCs/>
                <w:color w:val="000000" w:themeColor="text1"/>
                <w:kern w:val="0"/>
                <w:lang w:val="en-US" w:eastAsia="zh-CN"/>
                <w14:textFill>
                  <w14:solidFill>
                    <w14:schemeClr w14:val="tx1"/>
                  </w14:solidFill>
                </w14:textFill>
              </w:rPr>
              <w:t>共性评价指标部分（50分）</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一级指标</w:t>
            </w:r>
          </w:p>
        </w:tc>
        <w:tc>
          <w:tcPr>
            <w:tcW w:w="2005"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二级指标</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三级指标</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单位</w:t>
            </w:r>
          </w:p>
        </w:tc>
        <w:tc>
          <w:tcPr>
            <w:tcW w:w="3050" w:type="dxa"/>
            <w:tcBorders>
              <w:tl2br w:val="nil"/>
              <w:tr2bl w:val="nil"/>
            </w:tcBorders>
            <w:shd w:val="clear" w:color="auto" w:fill="auto"/>
            <w:vAlign w:val="top"/>
          </w:tcPr>
          <w:p>
            <w:pPr>
              <w:widowControl/>
              <w:spacing w:before="156" w:after="156" w:line="280" w:lineRule="exact"/>
              <w:ind w:firstLine="402"/>
              <w:jc w:val="both"/>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指标解释与填报注意事项</w:t>
            </w:r>
          </w:p>
        </w:tc>
        <w:tc>
          <w:tcPr>
            <w:tcW w:w="2576" w:type="dxa"/>
            <w:tcBorders>
              <w:tl2br w:val="nil"/>
              <w:tr2bl w:val="nil"/>
            </w:tcBorders>
            <w:shd w:val="clear" w:color="auto" w:fill="auto"/>
            <w:vAlign w:val="center"/>
          </w:tcPr>
          <w:p>
            <w:pPr>
              <w:widowControl/>
              <w:spacing w:before="156" w:after="156" w:line="280" w:lineRule="exact"/>
              <w:ind w:firstLine="402"/>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需提交证明材料</w:t>
            </w:r>
          </w:p>
        </w:tc>
        <w:tc>
          <w:tcPr>
            <w:tcW w:w="1776" w:type="dxa"/>
            <w:tcBorders>
              <w:tl2br w:val="nil"/>
              <w:tr2bl w:val="nil"/>
            </w:tcBorders>
            <w:shd w:val="clear" w:color="auto" w:fill="auto"/>
            <w:vAlign w:val="center"/>
          </w:tcPr>
          <w:p>
            <w:pPr>
              <w:widowControl/>
              <w:spacing w:before="156" w:after="156" w:line="280" w:lineRule="exact"/>
              <w:ind w:firstLine="402"/>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得分</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cs="宋体" w:asciiTheme="majorEastAsia" w:hAnsiTheme="majorEastAsia" w:eastAsiaTheme="majorEastAsia"/>
                <w:color w:val="000000" w:themeColor="text1"/>
                <w:kern w:val="0"/>
                <w:sz w:val="21"/>
                <w:szCs w:val="21"/>
                <w:lang w:eastAsia="zh-CN"/>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经营能力</w:t>
            </w:r>
          </w:p>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5</w:t>
            </w:r>
            <w:r>
              <w:rPr>
                <w:rFonts w:hint="eastAsia" w:cs="宋体" w:asciiTheme="majorEastAsia" w:hAnsiTheme="majorEastAsia" w:eastAsiaTheme="majorEastAsia"/>
                <w:color w:val="000000" w:themeColor="text1"/>
                <w:kern w:val="0"/>
                <w:sz w:val="21"/>
                <w:szCs w:val="21"/>
                <w14:textFill>
                  <w14:solidFill>
                    <w14:schemeClr w14:val="tx1"/>
                  </w14:solidFill>
                </w14:textFill>
              </w:rPr>
              <w:t>分）</w:t>
            </w:r>
          </w:p>
          <w:p>
            <w:pPr>
              <w:pStyle w:val="2"/>
              <w:spacing w:before="156" w:after="156"/>
              <w:ind w:left="560" w:firstLine="56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营收情况</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营业收入（2分）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1.报告年度内，企业实现的营业收入；</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报告年度的财务报表。</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营业收入增长率</w:t>
            </w:r>
            <w:r>
              <w:rPr>
                <w:rFonts w:cs="宋体" w:asciiTheme="majorEastAsia" w:hAnsiTheme="majorEastAsia" w:eastAsiaTheme="majorEastAsia"/>
                <w:color w:val="000000" w:themeColor="text1"/>
                <w:kern w:val="0"/>
                <w:sz w:val="21"/>
                <w:szCs w:val="21"/>
                <w14:textFill>
                  <w14:solidFill>
                    <w14:schemeClr w14:val="tx1"/>
                  </w14:solidFill>
                </w14:textFill>
              </w:rPr>
              <w:t>（2分）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计算公式为：(报告年度末营业收入/上一年度末营业收入-1)×100%。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上一年度的财务报表。</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纳税</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1.报告年度内，企业缴纳的增值税、企业所得税、员工个人所得税及其他主要税种；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报告年度的财务报表。</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纳税增长率</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计算公式为：(报告年度末纳税额/上一年度末纳税额-1)×100%。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上一年度的财务报表。</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盈利（1分）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企业是否实现盈利。</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报告年度的财务报表。</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上市情况</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上市企业（1分）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企业是否在国内外资本市场公开发行股票。</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企业股票上市发行所在的证券交易机构。</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市值（1分）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1.企业发行股份按市场价格计算的股票总价值；</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2.计算公式为：每股股票的市场价格 × 发行总股数。</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企业股票上市发行所在的证券交易机构。</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人力资源情况</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全体员工数量（2分）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人</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从业人数统计口径：在本单位工作并取得劳动报酬或经营收入的实有人员数。从业人员包括在各单位工作的外方人员和港澳台方人员、兼职人员、再就业的离退休人员、借用的外单位人员和第二职业者，但不包括离开本单位仍保留劳动关系的职工。</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报告年度的财务报表。</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技术团队人员数量（1分）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人</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企业中负责技术研发工作的员工人数。</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吸纳应届大学毕业生就业人数（1分）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人</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企业吸纳应届大学毕业生就业人数。</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毕业证书、社保证明等企业认为能体现该项内容的相关证明材料。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带动农村地区就业人数（1分）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人</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企业吸纳农村地区就业人数。</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数字技术相关岗位</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企业是否设置了人工智能、云计算、大数据、区块链、物联网工程技术人员等相关岗位。</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asciiTheme="majorEastAsia" w:hAnsiTheme="majorEastAsia" w:eastAsiaTheme="majorEastAsia" w:cstheme="majorEastAsia"/>
                <w:color w:val="000000" w:themeColor="text1"/>
                <w:kern w:val="0"/>
                <w:sz w:val="2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kern w:val="0"/>
                <w:sz w:val="21"/>
                <w:szCs w:val="21"/>
                <w14:textFill>
                  <w14:solidFill>
                    <w14:schemeClr w14:val="tx1"/>
                  </w14:solidFill>
                </w14:textFill>
              </w:rPr>
              <w:t>示范能力</w:t>
            </w:r>
          </w:p>
          <w:p>
            <w:pPr>
              <w:widowControl/>
              <w:spacing w:before="156" w:after="156" w:line="280" w:lineRule="exact"/>
              <w:ind w:firstLine="0" w:firstLineChars="0"/>
              <w:jc w:val="center"/>
              <w:rPr>
                <w:rFonts w:ascii="等线" w:hAnsi="等线" w:eastAsia="等线" w:cs="宋体"/>
                <w:color w:val="000000" w:themeColor="text1"/>
                <w:kern w:val="0"/>
                <w:sz w:val="21"/>
                <w:szCs w:val="21"/>
                <w14:textFill>
                  <w14:solidFill>
                    <w14:schemeClr w14:val="tx1"/>
                  </w14:solidFill>
                </w14:textFill>
              </w:rPr>
            </w:pPr>
            <w:r>
              <w:rPr>
                <w:rFonts w:hint="eastAsia" w:asciiTheme="majorEastAsia" w:hAnsiTheme="majorEastAsia" w:eastAsiaTheme="majorEastAsia" w:cstheme="majorEastAsia"/>
                <w:color w:val="000000" w:themeColor="text1"/>
                <w:kern w:val="0"/>
                <w:sz w:val="21"/>
                <w:szCs w:val="21"/>
                <w14:textFill>
                  <w14:solidFill>
                    <w14:schemeClr w14:val="tx1"/>
                  </w14:solidFill>
                </w14:textFill>
              </w:rPr>
              <w:t>（2</w:t>
            </w:r>
            <w:r>
              <w:rPr>
                <w:rFonts w:asciiTheme="majorEastAsia" w:hAnsiTheme="majorEastAsia" w:eastAsiaTheme="majorEastAsia" w:cstheme="majorEastAsia"/>
                <w:color w:val="000000" w:themeColor="text1"/>
                <w:kern w:val="0"/>
                <w:sz w:val="21"/>
                <w:szCs w:val="21"/>
                <w14:textFill>
                  <w14:solidFill>
                    <w14:schemeClr w14:val="tx1"/>
                  </w14:solidFill>
                </w14:textFill>
              </w:rPr>
              <w:t>5</w:t>
            </w:r>
            <w:r>
              <w:rPr>
                <w:rFonts w:hint="eastAsia" w:asciiTheme="majorEastAsia" w:hAnsiTheme="majorEastAsia" w:eastAsiaTheme="majorEastAsia" w:cstheme="majorEastAsia"/>
                <w:color w:val="000000" w:themeColor="text1"/>
                <w:kern w:val="0"/>
                <w:sz w:val="21"/>
                <w:szCs w:val="21"/>
                <w14:textFill>
                  <w14:solidFill>
                    <w14:schemeClr w14:val="tx1"/>
                  </w14:solidFill>
                </w14:textFill>
              </w:rPr>
              <w:t>分）</w:t>
            </w: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数字化管理</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信息化管理（2分）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企业是否在用户管理、客户管理、供应链管理、订单管理等方面应用数字化、在线化的信息管理系统或工具。</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降低管理成本（2分）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.通过应用数字化管理，企业降低管理成本</w:t>
            </w:r>
            <w:r>
              <w:rPr>
                <w:rFonts w:hint="eastAsia" w:cs="宋体" w:asciiTheme="majorEastAsia" w:hAnsiTheme="majorEastAsia" w:eastAsiaTheme="majorEastAsia"/>
                <w:color w:val="000000" w:themeColor="text1"/>
                <w:kern w:val="0"/>
                <w:sz w:val="21"/>
                <w:szCs w:val="21"/>
                <w14:textFill>
                  <w14:solidFill>
                    <w14:schemeClr w14:val="tx1"/>
                  </w14:solidFill>
                </w14:textFill>
              </w:rPr>
              <w:t>和人力成本金额；</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cs="宋体" w:asciiTheme="majorEastAsia" w:hAnsiTheme="majorEastAsia" w:eastAsiaTheme="majorEastAsia"/>
                <w:color w:val="000000" w:themeColor="text1"/>
                <w:kern w:val="0"/>
                <w:sz w:val="21"/>
                <w:szCs w:val="21"/>
                <w14:textFill>
                  <w14:solidFill>
                    <w14:schemeClr w14:val="tx1"/>
                  </w14:solidFill>
                </w14:textFill>
              </w:rPr>
              <w:t>2.</w:t>
            </w:r>
            <w:r>
              <w:rPr>
                <w:rFonts w:hint="eastAsia" w:cs="宋体" w:asciiTheme="majorEastAsia" w:hAnsiTheme="majorEastAsia" w:eastAsiaTheme="majorEastAsia"/>
                <w:color w:val="000000" w:themeColor="text1"/>
                <w:kern w:val="0"/>
                <w:sz w:val="21"/>
                <w:szCs w:val="21"/>
                <w14:textFill>
                  <w14:solidFill>
                    <w14:schemeClr w14:val="tx1"/>
                  </w14:solidFill>
                </w14:textFill>
              </w:rPr>
              <w:t>单位：</w:t>
            </w:r>
            <w:r>
              <w:rPr>
                <w:rFonts w:cs="宋体" w:asciiTheme="majorEastAsia" w:hAnsiTheme="majorEastAsia" w:eastAsiaTheme="majorEastAsia"/>
                <w:color w:val="000000" w:themeColor="text1"/>
                <w:kern w:val="0"/>
                <w:sz w:val="21"/>
                <w:szCs w:val="21"/>
                <w14:textFill>
                  <w14:solidFill>
                    <w14:schemeClr w14:val="tx1"/>
                  </w14:solidFill>
                </w14:textFill>
              </w:rPr>
              <w:t>万元</w:t>
            </w:r>
            <w:r>
              <w:rPr>
                <w:rFonts w:hint="eastAsia" w:cs="宋体" w:asciiTheme="majorEastAsia" w:hAnsiTheme="majorEastAsia" w:eastAsiaTheme="majorEastAsia"/>
                <w:color w:val="000000" w:themeColor="text1"/>
                <w:kern w:val="0"/>
                <w:sz w:val="21"/>
                <w:szCs w:val="21"/>
                <w14:textFill>
                  <w14:solidFill>
                    <w14:schemeClr w14:val="tx1"/>
                  </w14:solidFill>
                </w14:textFill>
              </w:rPr>
              <w:t>。不要自行改变单位。</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restart"/>
            <w:tcBorders>
              <w:tl2br w:val="nil"/>
              <w:tr2bl w:val="nil"/>
            </w:tcBorders>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数据要素应用</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大数据分析（</w:t>
            </w:r>
            <w:r>
              <w:rPr>
                <w:rFonts w:cs="宋体" w:asciiTheme="majorEastAsia" w:hAnsiTheme="majorEastAsia" w:eastAsiaTheme="majorEastAsia"/>
                <w:color w:val="000000" w:themeColor="text1"/>
                <w:kern w:val="0"/>
                <w:sz w:val="21"/>
                <w:szCs w:val="21"/>
                <w14:textFill>
                  <w14:solidFill>
                    <w14:schemeClr w14:val="tx1"/>
                  </w14:solidFill>
                </w14:textFill>
              </w:rPr>
              <w:t>2</w:t>
            </w:r>
            <w:r>
              <w:rPr>
                <w:rFonts w:hint="eastAsia"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企业是否在商务活动中使用大数据技术；</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企业是否使用</w:t>
            </w:r>
            <w:r>
              <w:rPr>
                <w:rFonts w:cs="宋体" w:asciiTheme="majorEastAsia" w:hAnsiTheme="majorEastAsia" w:eastAsiaTheme="majorEastAsia"/>
                <w:color w:val="000000" w:themeColor="text1"/>
                <w:kern w:val="0"/>
                <w:sz w:val="21"/>
                <w:szCs w:val="21"/>
                <w14:textFill>
                  <w14:solidFill>
                    <w14:schemeClr w14:val="tx1"/>
                  </w14:solidFill>
                </w14:textFill>
              </w:rPr>
              <w:t>数据质量监控系统平台</w:t>
            </w: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cs="宋体" w:asciiTheme="majorEastAsia" w:hAnsiTheme="majorEastAsia" w:eastAsiaTheme="majorEastAsia"/>
                <w:color w:val="000000" w:themeColor="text1"/>
                <w:kern w:val="0"/>
                <w:sz w:val="21"/>
                <w:szCs w:val="21"/>
                <w14:textFill>
                  <w14:solidFill>
                    <w14:schemeClr w14:val="tx1"/>
                  </w14:solidFill>
                </w14:textFill>
              </w:rPr>
              <w:t>3.</w:t>
            </w: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企业是否使用</w:t>
            </w:r>
            <w:r>
              <w:rPr>
                <w:rFonts w:cs="宋体" w:asciiTheme="majorEastAsia" w:hAnsiTheme="majorEastAsia" w:eastAsiaTheme="majorEastAsia"/>
                <w:color w:val="000000" w:themeColor="text1"/>
                <w:kern w:val="0"/>
                <w:sz w:val="21"/>
                <w:szCs w:val="21"/>
                <w14:textFill>
                  <w14:solidFill>
                    <w14:schemeClr w14:val="tx1"/>
                  </w14:solidFill>
                </w14:textFill>
              </w:rPr>
              <w:t>用户行为分析、用户画像等技术。</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大数据共享（2分）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企业是否与政府或其他组织机构分享脱敏数据。</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海外投资</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开展海外投资（1分）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企业是否在海外开展电子商务相关业务的投融资或并购活动。</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覆盖国家/地区数量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0" w:type="auto"/>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企业海外投资涉及的国家或地区数量。</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新闻报道等能体现该项内容的相关证明材料。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投资额度</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0" w:type="auto"/>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1.报告年度内，企业海外投资总额；</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新闻报道等能体现该项内容的相关证明材料。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科研水平</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研发投入</w:t>
            </w:r>
            <w:r>
              <w:rPr>
                <w:rFonts w:cs="宋体" w:asciiTheme="majorEastAsia" w:hAnsiTheme="majorEastAsia" w:eastAsiaTheme="majorEastAsia"/>
                <w:color w:val="000000" w:themeColor="text1"/>
                <w:kern w:val="0"/>
                <w:sz w:val="21"/>
                <w:szCs w:val="21"/>
                <w14:textFill>
                  <w14:solidFill>
                    <w14:schemeClr w14:val="tx1"/>
                  </w14:solidFill>
                </w14:textFill>
              </w:rPr>
              <w:t>（2分）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cs="宋体" w:asciiTheme="majorEastAsia" w:hAnsiTheme="majorEastAsia" w:eastAsiaTheme="majorEastAsia"/>
                <w:color w:val="000000" w:themeColor="text1"/>
                <w:kern w:val="0"/>
                <w:sz w:val="21"/>
                <w:szCs w:val="21"/>
                <w14:textFill>
                  <w14:solidFill>
                    <w14:schemeClr w14:val="tx1"/>
                  </w14:solidFill>
                </w14:textFill>
              </w:rPr>
              <w:t>%</w:t>
            </w:r>
          </w:p>
        </w:tc>
        <w:tc>
          <w:tcPr>
            <w:tcW w:w="0" w:type="auto"/>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企业研发投入占总收入的比例。</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专利数量</w:t>
            </w:r>
            <w:r>
              <w:rPr>
                <w:rFonts w:cs="宋体" w:asciiTheme="majorEastAsia" w:hAnsiTheme="majorEastAsia" w:eastAsiaTheme="majorEastAsia"/>
                <w:color w:val="000000" w:themeColor="text1"/>
                <w:kern w:val="0"/>
                <w:sz w:val="21"/>
                <w:szCs w:val="21"/>
                <w14:textFill>
                  <w14:solidFill>
                    <w14:schemeClr w14:val="tx1"/>
                  </w14:solidFill>
                </w14:textFill>
              </w:rPr>
              <w:t>（2分）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0" w:type="auto"/>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cs="宋体" w:asciiTheme="majorEastAsia" w:hAnsiTheme="majorEastAsia" w:eastAsiaTheme="majorEastAsia"/>
                <w:color w:val="000000" w:themeColor="text1"/>
                <w:kern w:val="0"/>
                <w:sz w:val="21"/>
                <w:szCs w:val="21"/>
                <w14:textFill>
                  <w14:solidFill>
                    <w14:schemeClr w14:val="tx1"/>
                  </w14:solidFill>
                </w14:textFill>
              </w:rPr>
              <w:t>1.企业获得的专利授权数量和软件著作权登记数量之和；</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cs="宋体" w:asciiTheme="majorEastAsia" w:hAnsiTheme="majorEastAsia" w:eastAsiaTheme="majorEastAsia"/>
                <w:color w:val="000000" w:themeColor="text1"/>
                <w:kern w:val="0"/>
                <w:sz w:val="21"/>
                <w:szCs w:val="21"/>
                <w14:textFill>
                  <w14:solidFill>
                    <w14:schemeClr w14:val="tx1"/>
                  </w14:solidFill>
                </w14:textFill>
              </w:rPr>
              <w:t>2.与电子商务业务无关的研发成果不应计入在内。</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专利证书号、名称、类型、权利人、取得时间等；软件著作权名称、登记号、属地、权利人、取得时间等。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网络安全</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风控机制</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0" w:type="auto"/>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企业是否在硬件、软件、云防护等方面设立风险防控机制，保护企业网络安全。</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数据保护</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0" w:type="auto"/>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企业是否建立相应的安全协议，保护用户个人数据及隐私信息的安全。</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党建水平</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党员人数</w:t>
            </w:r>
            <w:r>
              <w:rPr>
                <w:rFonts w:cs="宋体" w:asciiTheme="majorEastAsia" w:hAnsiTheme="majorEastAsia" w:eastAsiaTheme="majorEastAsia"/>
                <w:color w:val="000000" w:themeColor="text1"/>
                <w:kern w:val="0"/>
                <w:sz w:val="21"/>
                <w:szCs w:val="21"/>
                <w14:textFill>
                  <w14:solidFill>
                    <w14:schemeClr w14:val="tx1"/>
                  </w14:solidFill>
                </w14:textFill>
              </w:rPr>
              <w:t>（0.5分）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人</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1.企业全部员工中党员总数；</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2.正式党员和预备党员数。</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企业员工统计表格等能体现党员数量的材料。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设立党组织</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0</w:t>
            </w:r>
            <w:r>
              <w:rPr>
                <w:rFonts w:cs="宋体" w:asciiTheme="majorEastAsia" w:hAnsiTheme="majorEastAsia" w:eastAsiaTheme="majorEastAsia"/>
                <w:color w:val="000000" w:themeColor="text1"/>
                <w:kern w:val="0"/>
                <w:sz w:val="21"/>
                <w:szCs w:val="21"/>
                <w14:textFill>
                  <w14:solidFill>
                    <w14:schemeClr w14:val="tx1"/>
                  </w14:solidFill>
                </w14:textFill>
              </w:rPr>
              <w:t>.5分）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企业是否已经设立党组织。</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相关工作或活动的通知、记录、报道、照片、文档等。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责任落实</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企业是否开展以下工作：党组织书记履行党建责任，明确责任和任务；建立机制和制度；组织过专题党课；充分发挥第一责任人的作用，促进“两个责任”的落实。</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相关工作或活动的通知、记录、报道、照片、文档等。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学习贯彻</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企业是否开展以下学习活动：制定相应的学习宣传贯彻计划和方案；定期开展主题党日活动；组织党员定期学习。</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相关工作或活动的通知、记录、报道、照片、文档等。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党内生活</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开展以下党内活动：执行“三会一课”制度；开展民主生活会、组织生活会、党建述职、民主评议党员活动；积极发展党员；收缴党费并合理使用管理；规范党员管理；贯彻落实《关于新形势下党内政治生活的若干准则》。</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相关工作或活动的通知、记录、报道、照片、文档等。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党风廉政</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企业是否开展以下工作：党组织执行政治纪律和政治规矩；推进党风廉政建设和反腐败以及执行廉洁纪律。</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相关工作或活动的通知、记录、报道、照片、文档等。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公益慈善</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开展慈善活动</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报告年度内，企业是否开展过公益慈善活动。</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相关工作或活动的通知、记录、报道、照片、文档等。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慈善活动总额</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企业开展的公益慈善活动价值总额。</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相关工作或活动的通知、记录、报道、照片、文档等。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ascii="等线" w:hAnsi="等线" w:eastAsia="等线" w:cs="宋体"/>
                <w:color w:val="000000" w:themeColor="text1"/>
                <w:kern w:val="0"/>
                <w:sz w:val="21"/>
                <w:szCs w:val="21"/>
                <w14:textFill>
                  <w14:solidFill>
                    <w14:schemeClr w14:val="tx1"/>
                  </w14:solidFill>
                </w14:textFill>
              </w:rPr>
            </w:pPr>
            <w:r>
              <w:rPr>
                <w:rFonts w:hint="eastAsia" w:asciiTheme="majorEastAsia" w:hAnsiTheme="majorEastAsia" w:eastAsiaTheme="majorEastAsia" w:cstheme="majorEastAsia"/>
                <w:color w:val="000000" w:themeColor="text1"/>
                <w:kern w:val="0"/>
                <w:sz w:val="21"/>
                <w:szCs w:val="21"/>
                <w14:textFill>
                  <w14:solidFill>
                    <w14:schemeClr w14:val="tx1"/>
                  </w14:solidFill>
                </w14:textFill>
              </w:rPr>
              <w:t>带动能力</w:t>
            </w:r>
            <w:r>
              <w:rPr>
                <w:rFonts w:asciiTheme="majorEastAsia" w:hAnsiTheme="majorEastAsia" w:eastAsiaTheme="majorEastAsia" w:cstheme="majorEastAsia"/>
                <w:color w:val="000000" w:themeColor="text1"/>
                <w:kern w:val="0"/>
                <w:sz w:val="21"/>
                <w:szCs w:val="21"/>
                <w14:textFill>
                  <w14:solidFill>
                    <w14:schemeClr w14:val="tx1"/>
                  </w14:solidFill>
                </w14:textFill>
              </w:rPr>
              <w:t>（10分）</w:t>
            </w: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标准建立</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团体标准或行业标准</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报告年度内，企业参与编制的电子商务相关领域团体标准或行业标准数量。</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相关批复文件、标准文本或新闻报道等。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国家标准</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报告年度内，企业参与编制的电子商务相关领域国家标准数量。</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相关批复文件、标准文本或新闻报道等。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环境打造</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企业自治</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tabs>
                <w:tab w:val="left" w:pos="312"/>
              </w:tabs>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报告年度内，平台企业是否发布或修订面向平台内电子商务经营者公平竞争、保障消费者权益及新就业形态劳动者权益的平台规则；</w:t>
            </w:r>
          </w:p>
          <w:p>
            <w:pPr>
              <w:widowControl/>
              <w:tabs>
                <w:tab w:val="left" w:pos="312"/>
              </w:tabs>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2.报告年度内，企业是否建立合规管理制度；</w:t>
            </w:r>
          </w:p>
          <w:p>
            <w:pPr>
              <w:widowControl/>
              <w:tabs>
                <w:tab w:val="left" w:pos="312"/>
              </w:tabs>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3.报告年度内，企业是否开展关于自身产品或服务质量的自查及改进工作。</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行业自律</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报告年度内，企业是否与相关监管部门、行业协会或其他企业共同发起或组织有关优化电子商务市场环境的活动。</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宣传推广</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是否积极将示范效应和先进经验向社会宣传推广。</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绿色发展</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管理措施</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是否制定绿色发展相关管理办法；</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cs="宋体" w:asciiTheme="majorEastAsia" w:hAnsiTheme="majorEastAsia" w:eastAsiaTheme="majorEastAsia"/>
                <w:color w:val="000000" w:themeColor="text1"/>
                <w:kern w:val="0"/>
                <w:sz w:val="21"/>
                <w:szCs w:val="21"/>
                <w14:textFill>
                  <w14:solidFill>
                    <w14:schemeClr w14:val="tx1"/>
                  </w14:solidFill>
                </w14:textFill>
              </w:rPr>
              <w:t>2.</w:t>
            </w:r>
            <w:r>
              <w:rPr>
                <w:rFonts w:hint="eastAsia" w:cs="宋体" w:asciiTheme="majorEastAsia" w:hAnsiTheme="majorEastAsia" w:eastAsiaTheme="majorEastAsia"/>
                <w:color w:val="000000" w:themeColor="text1"/>
                <w:kern w:val="0"/>
                <w:sz w:val="21"/>
                <w:szCs w:val="21"/>
                <w14:textFill>
                  <w14:solidFill>
                    <w14:schemeClr w14:val="tx1"/>
                  </w14:solidFill>
                </w14:textFill>
              </w:rPr>
              <w:t>是否组织开展与绿色发展和节能减排相关的培训活动。</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绿色包装</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是否推广使用绿色包装或采取措施实现包装减量；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是否建立包装产品合格供应商制度。</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ascii="等线" w:hAnsi="等线" w:eastAsia="等线"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绿色消费</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是否设置绿色产品销售专区；</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是否采取激励措施，引导消费者购买绿色产品。</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74" w:type="dxa"/>
            <w:gridSpan w:val="7"/>
            <w:tcBorders>
              <w:tl2br w:val="nil"/>
              <w:tr2bl w:val="nil"/>
            </w:tcBorders>
            <w:shd w:val="clear" w:color="000000" w:fill="FFFFFF"/>
            <w:vAlign w:val="top"/>
          </w:tcPr>
          <w:p>
            <w:pPr>
              <w:widowControl/>
              <w:spacing w:before="156" w:after="156" w:line="280" w:lineRule="exact"/>
              <w:ind w:firstLine="562"/>
              <w:jc w:val="center"/>
              <w:rPr>
                <w:rFonts w:ascii="黑体" w:hAnsi="黑体" w:eastAsia="黑体" w:cs="宋体"/>
                <w:b/>
                <w:bCs/>
                <w:color w:val="000000" w:themeColor="text1"/>
                <w:kern w:val="0"/>
                <w14:textFill>
                  <w14:solidFill>
                    <w14:schemeClr w14:val="tx1"/>
                  </w14:solidFill>
                </w14:textFill>
              </w:rPr>
            </w:pPr>
            <w:r>
              <w:rPr>
                <w:rFonts w:hint="eastAsia" w:ascii="黑体" w:hAnsi="黑体" w:eastAsia="黑体" w:cs="宋体"/>
                <w:b/>
                <w:bCs/>
                <w:color w:val="000000" w:themeColor="text1"/>
                <w:kern w:val="0"/>
                <w14:textFill>
                  <w14:solidFill>
                    <w14:schemeClr w14:val="tx1"/>
                  </w14:solidFill>
                </w14:textFill>
              </w:rPr>
              <w:t>以下</w:t>
            </w:r>
            <w:r>
              <w:rPr>
                <w:rFonts w:hint="eastAsia" w:ascii="黑体" w:hAnsi="黑体" w:eastAsia="黑体" w:cs="宋体"/>
                <w:b/>
                <w:bCs/>
                <w:color w:val="000000" w:themeColor="text1"/>
                <w:kern w:val="0"/>
                <w:lang w:val="en-US" w:eastAsia="zh-CN"/>
                <w14:textFill>
                  <w14:solidFill>
                    <w14:schemeClr w14:val="tx1"/>
                  </w14:solidFill>
                </w14:textFill>
              </w:rPr>
              <w:t>为</w:t>
            </w:r>
            <w:r>
              <w:rPr>
                <w:rFonts w:hint="eastAsia" w:ascii="黑体" w:hAnsi="黑体" w:eastAsia="黑体" w:cs="宋体"/>
                <w:b/>
                <w:bCs/>
                <w:color w:val="000000" w:themeColor="text1"/>
                <w:kern w:val="0"/>
                <w14:textFill>
                  <w14:solidFill>
                    <w14:schemeClr w14:val="tx1"/>
                  </w14:solidFill>
                </w14:textFill>
              </w:rPr>
              <w:t>分类评价</w:t>
            </w:r>
            <w:r>
              <w:rPr>
                <w:rFonts w:hint="eastAsia" w:ascii="黑体" w:hAnsi="黑体" w:eastAsia="黑体" w:cs="宋体"/>
                <w:b/>
                <w:bCs/>
                <w:color w:val="000000" w:themeColor="text1"/>
                <w:kern w:val="0"/>
                <w:lang w:val="en-US" w:eastAsia="zh-CN"/>
                <w14:textFill>
                  <w14:solidFill>
                    <w14:schemeClr w14:val="tx1"/>
                  </w14:solidFill>
                </w14:textFill>
              </w:rPr>
              <w:t>指标</w:t>
            </w:r>
            <w:r>
              <w:rPr>
                <w:rFonts w:hint="eastAsia" w:ascii="黑体" w:hAnsi="黑体" w:eastAsia="黑体" w:cs="宋体"/>
                <w:b/>
                <w:bCs/>
                <w:color w:val="000000" w:themeColor="text1"/>
                <w:kern w:val="0"/>
                <w14:textFill>
                  <w14:solidFill>
                    <w14:schemeClr w14:val="tx1"/>
                  </w14:solidFill>
                </w14:textFill>
              </w:rPr>
              <w:t>部分</w:t>
            </w:r>
            <w:r>
              <w:rPr>
                <w:rFonts w:hint="eastAsia" w:ascii="黑体" w:hAnsi="黑体" w:eastAsia="黑体" w:cs="宋体"/>
                <w:b/>
                <w:bCs/>
                <w:color w:val="000000" w:themeColor="text1"/>
                <w:kern w:val="0"/>
                <w:lang w:eastAsia="zh-CN"/>
                <w14:textFill>
                  <w14:solidFill>
                    <w14:schemeClr w14:val="tx1"/>
                  </w14:solidFill>
                </w14:textFill>
              </w:rPr>
              <w:t>，</w:t>
            </w:r>
            <w:r>
              <w:rPr>
                <w:rFonts w:hint="eastAsia" w:ascii="黑体" w:hAnsi="黑体" w:eastAsia="黑体" w:cs="宋体"/>
                <w:b/>
                <w:bCs/>
                <w:color w:val="000000" w:themeColor="text1"/>
                <w:kern w:val="0"/>
                <w14:textFill>
                  <w14:solidFill>
                    <w14:schemeClr w14:val="tx1"/>
                  </w14:solidFill>
                </w14:textFill>
              </w:rPr>
              <w:t>适用于申报该类示范的企业</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74" w:type="dxa"/>
            <w:gridSpan w:val="7"/>
            <w:tcBorders>
              <w:tl2br w:val="nil"/>
              <w:tr2bl w:val="nil"/>
            </w:tcBorders>
            <w:shd w:val="clear" w:color="000000" w:fill="FFFFFF"/>
            <w:vAlign w:val="top"/>
          </w:tcPr>
          <w:p>
            <w:pPr>
              <w:widowControl/>
              <w:spacing w:before="156" w:after="156" w:line="280" w:lineRule="exact"/>
              <w:ind w:firstLine="400"/>
              <w:jc w:val="center"/>
              <w:rPr>
                <w:rFonts w:cs="宋体" w:asciiTheme="majorEastAsia" w:hAnsiTheme="majorEastAsia" w:eastAsiaTheme="majorEastAsia"/>
                <w:color w:val="000000" w:themeColor="text1"/>
                <w:kern w:val="0"/>
                <w:sz w:val="20"/>
                <w:szCs w:val="20"/>
                <w14:textFill>
                  <w14:solidFill>
                    <w14:schemeClr w14:val="tx1"/>
                  </w14:solidFill>
                </w14:textFill>
              </w:rPr>
            </w:pPr>
            <w:r>
              <w:rPr>
                <w:rFonts w:hint="eastAsia" w:cs="宋体" w:asciiTheme="majorEastAsia" w:hAnsiTheme="majorEastAsia" w:eastAsiaTheme="majorEastAsia"/>
                <w:color w:val="000000" w:themeColor="text1"/>
                <w:kern w:val="0"/>
                <w:sz w:val="20"/>
                <w:szCs w:val="20"/>
                <w14:textFill>
                  <w14:solidFill>
                    <w14:schemeClr w14:val="tx1"/>
                  </w14:solidFill>
                </w14:textFill>
              </w:rPr>
              <w:t>注：申报“综合型电子商务示范企业”的应</w:t>
            </w:r>
            <w:r>
              <w:rPr>
                <w:rFonts w:hint="eastAsia" w:cs="宋体" w:asciiTheme="majorEastAsia" w:hAnsiTheme="majorEastAsia" w:eastAsiaTheme="majorEastAsia"/>
                <w:color w:val="000000" w:themeColor="text1"/>
                <w:kern w:val="0"/>
                <w:sz w:val="20"/>
                <w:szCs w:val="20"/>
                <w:lang w:val="en-US" w:eastAsia="zh-CN"/>
                <w14:textFill>
                  <w14:solidFill>
                    <w14:schemeClr w14:val="tx1"/>
                  </w14:solidFill>
                </w14:textFill>
              </w:rPr>
              <w:t>选择</w:t>
            </w:r>
            <w:r>
              <w:rPr>
                <w:rFonts w:hint="eastAsia" w:cs="宋体" w:asciiTheme="majorEastAsia" w:hAnsiTheme="majorEastAsia" w:eastAsiaTheme="majorEastAsia"/>
                <w:color w:val="000000" w:themeColor="text1"/>
                <w:kern w:val="0"/>
                <w:sz w:val="20"/>
                <w:szCs w:val="20"/>
                <w14:textFill>
                  <w14:solidFill>
                    <w14:schemeClr w14:val="tx1"/>
                  </w14:solidFill>
                </w14:textFill>
              </w:rPr>
              <w:t>不少于两类指标(不含“</w:t>
            </w:r>
            <w:r>
              <w:rPr>
                <w:rFonts w:hint="eastAsia" w:asciiTheme="majorEastAsia" w:hAnsiTheme="majorEastAsia" w:eastAsiaTheme="majorEastAsia" w:cstheme="majorEastAsia"/>
                <w:color w:val="000000" w:themeColor="text1"/>
                <w:sz w:val="20"/>
                <w:szCs w:val="20"/>
                <w14:textFill>
                  <w14:solidFill>
                    <w14:schemeClr w14:val="tx1"/>
                  </w14:solidFill>
                </w14:textFill>
              </w:rPr>
              <w:t>其他创新型电子商务企业”）</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74" w:type="dxa"/>
            <w:gridSpan w:val="7"/>
            <w:tcBorders>
              <w:tl2br w:val="nil"/>
              <w:tr2bl w:val="nil"/>
            </w:tcBorders>
            <w:shd w:val="clear" w:color="auto" w:fill="auto"/>
            <w:vAlign w:val="top"/>
          </w:tcPr>
          <w:p>
            <w:pPr>
              <w:widowControl/>
              <w:spacing w:before="156" w:after="156" w:line="280" w:lineRule="exact"/>
              <w:ind w:firstLine="482"/>
              <w:jc w:val="center"/>
              <w:rPr>
                <w:rFonts w:hint="default" w:ascii="黑体" w:hAnsi="黑体" w:eastAsia="黑体" w:cs="宋体"/>
                <w:b/>
                <w:bCs/>
                <w:color w:val="000000" w:themeColor="text1"/>
                <w:kern w:val="0"/>
                <w:sz w:val="24"/>
                <w:szCs w:val="24"/>
                <w:lang w:val="en-US" w:eastAsia="zh-CN"/>
                <w14:textFill>
                  <w14:solidFill>
                    <w14:schemeClr w14:val="tx1"/>
                  </w14:solidFill>
                </w14:textFill>
              </w:rPr>
            </w:pPr>
            <w:r>
              <w:rPr>
                <w:rFonts w:hint="eastAsia" w:ascii="黑体" w:hAnsi="黑体" w:eastAsia="黑体" w:cs="宋体"/>
                <w:b/>
                <w:bCs/>
                <w:color w:val="000000" w:themeColor="text1"/>
                <w:kern w:val="0"/>
                <w:sz w:val="24"/>
                <w:szCs w:val="24"/>
                <w14:textFill>
                  <w14:solidFill>
                    <w14:schemeClr w14:val="tx1"/>
                  </w14:solidFill>
                </w14:textFill>
              </w:rPr>
              <w:t>平台</w:t>
            </w:r>
            <w:r>
              <w:rPr>
                <w:rFonts w:hint="eastAsia" w:ascii="黑体" w:hAnsi="黑体" w:eastAsia="黑体" w:cs="宋体"/>
                <w:b/>
                <w:bCs/>
                <w:color w:val="000000" w:themeColor="text1"/>
                <w:kern w:val="0"/>
                <w:sz w:val="24"/>
                <w:szCs w:val="24"/>
                <w:lang w:eastAsia="zh-CN"/>
                <w14:textFill>
                  <w14:solidFill>
                    <w14:schemeClr w14:val="tx1"/>
                  </w14:solidFill>
                </w14:textFill>
              </w:rPr>
              <w:t>型</w:t>
            </w:r>
            <w:r>
              <w:rPr>
                <w:rFonts w:hint="eastAsia" w:ascii="黑体" w:hAnsi="黑体" w:eastAsia="黑体" w:cs="宋体"/>
                <w:b/>
                <w:bCs/>
                <w:color w:val="000000" w:themeColor="text1"/>
                <w:kern w:val="0"/>
                <w:sz w:val="24"/>
                <w:szCs w:val="24"/>
                <w14:textFill>
                  <w14:solidFill>
                    <w14:schemeClr w14:val="tx1"/>
                  </w14:solidFill>
                </w14:textFill>
              </w:rPr>
              <w:t>企业</w:t>
            </w:r>
            <w:r>
              <w:rPr>
                <w:rFonts w:hint="eastAsia" w:ascii="黑体" w:hAnsi="黑体" w:eastAsia="黑体" w:cs="宋体"/>
                <w:b/>
                <w:bCs/>
                <w:color w:val="000000" w:themeColor="text1"/>
                <w:kern w:val="0"/>
                <w:sz w:val="24"/>
                <w:szCs w:val="24"/>
                <w:lang w:val="en-US" w:eastAsia="zh-CN"/>
                <w14:textFill>
                  <w14:solidFill>
                    <w14:schemeClr w14:val="tx1"/>
                  </w14:solidFill>
                </w14:textFill>
              </w:rPr>
              <w:t>评价指标</w:t>
            </w:r>
            <w:bookmarkStart w:id="3" w:name="_GoBack"/>
            <w:bookmarkEnd w:id="3"/>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74" w:type="dxa"/>
            <w:gridSpan w:val="7"/>
            <w:tcBorders>
              <w:tl2br w:val="nil"/>
              <w:tr2bl w:val="nil"/>
            </w:tcBorders>
            <w:shd w:val="clear" w:color="000000" w:fill="FFFFFF"/>
            <w:vAlign w:val="top"/>
          </w:tcPr>
          <w:p>
            <w:pPr>
              <w:widowControl/>
              <w:spacing w:before="156" w:after="156" w:line="280" w:lineRule="exact"/>
              <w:ind w:firstLine="402"/>
              <w:jc w:val="center"/>
              <w:rPr>
                <w:rFonts w:hint="default" w:ascii="楷体_GB2312" w:hAnsi="楷体_GB2312" w:eastAsia="楷体_GB2312" w:cs="楷体_GB2312"/>
                <w:b/>
                <w:bCs/>
                <w:color w:val="000000" w:themeColor="text1"/>
                <w:kern w:val="0"/>
                <w:sz w:val="20"/>
                <w:szCs w:val="20"/>
                <w:lang w:val="en-US" w:eastAsia="zh-CN"/>
                <w14:textFill>
                  <w14:solidFill>
                    <w14:schemeClr w14:val="tx1"/>
                  </w14:solidFill>
                </w14:textFill>
              </w:rPr>
            </w:pPr>
            <w:r>
              <w:rPr>
                <w:rFonts w:hint="eastAsia" w:ascii="楷体_GB2312" w:hAnsi="楷体_GB2312" w:eastAsia="楷体_GB2312" w:cs="楷体_GB2312"/>
                <w:b/>
                <w:bCs/>
                <w:color w:val="000000" w:themeColor="text1"/>
                <w:kern w:val="0"/>
                <w:sz w:val="20"/>
                <w:szCs w:val="20"/>
                <w14:textFill>
                  <w14:solidFill>
                    <w14:schemeClr w14:val="tx1"/>
                  </w14:solidFill>
                </w14:textFill>
              </w:rPr>
              <w:t>实物型电子商务平台企业</w:t>
            </w:r>
            <w:r>
              <w:rPr>
                <w:rFonts w:hint="eastAsia" w:ascii="楷体_GB2312" w:hAnsi="楷体_GB2312" w:eastAsia="楷体_GB2312" w:cs="楷体_GB2312"/>
                <w:b/>
                <w:bCs/>
                <w:color w:val="000000" w:themeColor="text1"/>
                <w:kern w:val="0"/>
                <w:sz w:val="20"/>
                <w:szCs w:val="20"/>
                <w:lang w:val="en-US" w:eastAsia="zh-CN"/>
                <w14:textFill>
                  <w14:solidFill>
                    <w14:schemeClr w14:val="tx1"/>
                  </w14:solidFill>
                </w14:textFill>
              </w:rPr>
              <w:t>评价指标（50分）</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tcBorders>
              <w:tl2br w:val="nil"/>
              <w:tr2bl w:val="nil"/>
            </w:tcBorders>
            <w:shd w:val="clear" w:color="auto" w:fill="auto"/>
            <w:vAlign w:val="center"/>
          </w:tcPr>
          <w:p>
            <w:pPr>
              <w:widowControl/>
              <w:spacing w:before="156" w:after="156" w:line="280" w:lineRule="exact"/>
              <w:ind w:firstLine="0" w:firstLineChars="0"/>
              <w:jc w:val="center"/>
              <w:rPr>
                <w:rFonts w:ascii="等线" w:hAnsi="等线" w:eastAsia="等线" w:cs="宋体"/>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一级指标</w:t>
            </w:r>
          </w:p>
        </w:tc>
        <w:tc>
          <w:tcPr>
            <w:tcW w:w="2005" w:type="dxa"/>
            <w:tcBorders>
              <w:tl2br w:val="nil"/>
              <w:tr2bl w:val="nil"/>
            </w:tcBorders>
            <w:shd w:val="clear" w:color="auto" w:fill="auto"/>
            <w:vAlign w:val="center"/>
          </w:tcPr>
          <w:p>
            <w:pPr>
              <w:widowControl/>
              <w:spacing w:before="156" w:after="156" w:line="280" w:lineRule="exact"/>
              <w:ind w:firstLine="402"/>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二级指标</w:t>
            </w:r>
          </w:p>
        </w:tc>
        <w:tc>
          <w:tcPr>
            <w:tcW w:w="2689" w:type="dxa"/>
            <w:tcBorders>
              <w:tl2br w:val="nil"/>
              <w:tr2bl w:val="nil"/>
            </w:tcBorders>
            <w:shd w:val="clear" w:color="auto" w:fill="auto"/>
            <w:vAlign w:val="center"/>
          </w:tcPr>
          <w:p>
            <w:pPr>
              <w:widowControl/>
              <w:spacing w:before="156" w:after="156" w:line="280" w:lineRule="exact"/>
              <w:ind w:firstLine="402"/>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三级指标</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单位</w:t>
            </w:r>
          </w:p>
        </w:tc>
        <w:tc>
          <w:tcPr>
            <w:tcW w:w="3050" w:type="dxa"/>
            <w:tcBorders>
              <w:tl2br w:val="nil"/>
              <w:tr2bl w:val="nil"/>
            </w:tcBorders>
            <w:shd w:val="clear" w:color="auto" w:fill="auto"/>
            <w:vAlign w:val="top"/>
          </w:tcPr>
          <w:p>
            <w:pPr>
              <w:widowControl/>
              <w:spacing w:before="156" w:after="156" w:line="280" w:lineRule="exact"/>
              <w:ind w:firstLine="402"/>
              <w:jc w:val="both"/>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指标解释与填报注意事项</w:t>
            </w:r>
          </w:p>
        </w:tc>
        <w:tc>
          <w:tcPr>
            <w:tcW w:w="2576" w:type="dxa"/>
            <w:tcBorders>
              <w:tl2br w:val="nil"/>
              <w:tr2bl w:val="nil"/>
            </w:tcBorders>
            <w:shd w:val="clear" w:color="auto" w:fill="auto"/>
            <w:vAlign w:val="center"/>
          </w:tcPr>
          <w:p>
            <w:pPr>
              <w:widowControl/>
              <w:spacing w:before="156" w:after="156" w:line="280" w:lineRule="exact"/>
              <w:ind w:firstLine="402"/>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需提交证明材料</w:t>
            </w:r>
          </w:p>
        </w:tc>
        <w:tc>
          <w:tcPr>
            <w:tcW w:w="1776" w:type="dxa"/>
            <w:tcBorders>
              <w:tl2br w:val="nil"/>
              <w:tr2bl w:val="nil"/>
            </w:tcBorders>
            <w:shd w:val="clear" w:color="auto" w:fill="auto"/>
            <w:vAlign w:val="center"/>
          </w:tcPr>
          <w:p>
            <w:pPr>
              <w:widowControl/>
              <w:spacing w:before="156" w:after="156" w:line="280" w:lineRule="exact"/>
              <w:ind w:firstLine="402"/>
              <w:jc w:val="center"/>
              <w:rPr>
                <w:rFonts w:hint="eastAsia" w:cs="宋体" w:asciiTheme="majorEastAsia" w:hAnsiTheme="majorEastAsia" w:eastAsiaTheme="majorEastAsia"/>
                <w:b/>
                <w:bCs/>
                <w:color w:val="000000" w:themeColor="text1"/>
                <w:kern w:val="0"/>
                <w:sz w:val="20"/>
                <w:szCs w:val="20"/>
                <w:lang w:val="en-US" w:eastAsia="zh-CN"/>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lang w:val="en-US" w:eastAsia="zh-CN"/>
                <w14:textFill>
                  <w14:solidFill>
                    <w14:schemeClr w14:val="tx1"/>
                  </w14:solidFill>
                </w14:textFill>
              </w:rPr>
              <w:t>得分</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eastAsia="宋体" w:cs="宋体"/>
                <w:color w:val="000000" w:themeColor="text1"/>
                <w:kern w:val="0"/>
                <w:sz w:val="21"/>
                <w:szCs w:val="21"/>
                <w:lang w:eastAsia="zh-CN"/>
                <w14:textFill>
                  <w14:solidFill>
                    <w14:schemeClr w14:val="tx1"/>
                  </w14:solidFill>
                </w14:textFill>
              </w:rPr>
            </w:pPr>
            <w:r>
              <w:rPr>
                <w:rFonts w:hint="eastAsia" w:cs="宋体"/>
                <w:color w:val="000000" w:themeColor="text1"/>
                <w:kern w:val="0"/>
                <w:sz w:val="21"/>
                <w:szCs w:val="21"/>
                <w14:textFill>
                  <w14:solidFill>
                    <w14:schemeClr w14:val="tx1"/>
                  </w14:solidFill>
                </w14:textFill>
              </w:rPr>
              <w:t>经营能力</w:t>
            </w:r>
          </w:p>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（1</w:t>
            </w:r>
            <w:r>
              <w:rPr>
                <w:rFonts w:cs="宋体"/>
                <w:color w:val="000000" w:themeColor="text1"/>
                <w:kern w:val="0"/>
                <w:sz w:val="21"/>
                <w:szCs w:val="21"/>
                <w14:textFill>
                  <w14:solidFill>
                    <w14:schemeClr w14:val="tx1"/>
                  </w14:solidFill>
                </w14:textFill>
              </w:rPr>
              <w:t>5</w:t>
            </w:r>
            <w:r>
              <w:rPr>
                <w:rFonts w:hint="eastAsia" w:cs="宋体"/>
                <w:color w:val="000000" w:themeColor="text1"/>
                <w:kern w:val="0"/>
                <w:sz w:val="21"/>
                <w:szCs w:val="21"/>
                <w14:textFill>
                  <w14:solidFill>
                    <w14:schemeClr w14:val="tx1"/>
                  </w14:solidFill>
                </w14:textFill>
              </w:rPr>
              <w:t>分）</w:t>
            </w: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业务规模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订单量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万件</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1.报告年度内，企业实现的电子商务订单量；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2.单位：万件。不要自行改变单位；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电子商务交易额</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1.报告年度内，企业实现的电子商务交易额或网上零售额；</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电子商务交易额增长率</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计算公式为：(报告年度末电子商务交易额/上一年度末电子商务交易额-1)×100%。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下沉市场交易额占比</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三、四、五线城市以及县域、农村市场的电商交易额占总额的比例。</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该项市场份额统计表等企业认为能体现该项内容的相关证明材料。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用户规模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个人用户注册数量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1.报告年度内，平台上的个人用户注册数量；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个人用户注册数量增长率</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计算公式为：(报告年度末个人用户注册数量/上一年度末个人用户注册数量-1)×100%。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企业用户注册数量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1.报告年度内，平台上的企业用户注册数量；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企业用户注册数量增长率</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计算公式为：(报告年度末企业用户注册数量/上一年度末企业用户注册数量-1)×100%。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平台内经营者数量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1.报告年度内，平台内经营者的注册数量；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平台内经营者数量增长率</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计算公式为：(报告年度末平台内经营者数量/上一年度末平台内经营者数量-1)×100%。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eastAsia="宋体" w:cs="宋体"/>
                <w:color w:val="000000" w:themeColor="text1"/>
                <w:kern w:val="0"/>
                <w:sz w:val="21"/>
                <w:szCs w:val="21"/>
                <w:lang w:eastAsia="zh-CN"/>
                <w14:textFill>
                  <w14:solidFill>
                    <w14:schemeClr w14:val="tx1"/>
                  </w14:solidFill>
                </w14:textFill>
              </w:rPr>
            </w:pPr>
            <w:r>
              <w:rPr>
                <w:rFonts w:hint="eastAsia" w:cs="宋体"/>
                <w:color w:val="000000" w:themeColor="text1"/>
                <w:kern w:val="0"/>
                <w:sz w:val="21"/>
                <w:szCs w:val="21"/>
                <w14:textFill>
                  <w14:solidFill>
                    <w14:schemeClr w14:val="tx1"/>
                  </w14:solidFill>
                </w14:textFill>
              </w:rPr>
              <w:t>示范能力</w:t>
            </w:r>
          </w:p>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（1</w:t>
            </w:r>
            <w:r>
              <w:rPr>
                <w:rFonts w:cs="宋体"/>
                <w:color w:val="000000" w:themeColor="text1"/>
                <w:kern w:val="0"/>
                <w:sz w:val="21"/>
                <w:szCs w:val="21"/>
                <w14:textFill>
                  <w14:solidFill>
                    <w14:schemeClr w14:val="tx1"/>
                  </w14:solidFill>
                </w14:textFill>
              </w:rPr>
              <w:t>5</w:t>
            </w:r>
            <w:r>
              <w:rPr>
                <w:rFonts w:hint="eastAsia" w:cs="宋体"/>
                <w:color w:val="000000" w:themeColor="text1"/>
                <w:kern w:val="0"/>
                <w:sz w:val="21"/>
                <w:szCs w:val="21"/>
                <w14:textFill>
                  <w14:solidFill>
                    <w14:schemeClr w14:val="tx1"/>
                  </w14:solidFill>
                </w14:textFill>
              </w:rPr>
              <w:t>分）</w:t>
            </w: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国际化</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开展跨境电商业务</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企业是否通过跨境电商的方式将商品出售给境外企业或个人客户，或开展跨境电商零售进口业务。</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跨境电商交易额</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1.报告年度内，企业实现的跨境电商交易额；</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跨境电商交易额增长率</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计算公式为：(报告年度末跨境电商交易额/上一年度末跨境电商交易额-1)×100%。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覆盖“一带一路”沿线国家</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企业跨境电商业务的商品来源国或出口目的地国中是否包含“一带一路”沿线国家。</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交易凭证或新闻报道等。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覆盖新兴市场国家</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企业跨境电商业务的商品来源国或出口目的地国中是否包含新兴市场国家。</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交易凭证或新闻报道等。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模式创新</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直播带货交易额占比</w:t>
            </w:r>
            <w:r>
              <w:rPr>
                <w:rFonts w:cs="宋体" w:asciiTheme="majorEastAsia" w:hAnsiTheme="majorEastAsia" w:eastAsiaTheme="majorEastAsia"/>
                <w:color w:val="000000" w:themeColor="text1"/>
                <w:kern w:val="0"/>
                <w:sz w:val="21"/>
                <w:szCs w:val="21"/>
                <w14:textFill>
                  <w14:solidFill>
                    <w14:schemeClr w14:val="tx1"/>
                  </w14:solidFill>
                </w14:textFill>
              </w:rPr>
              <w:t>（2分）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企业的电子商务交易额中，通过直播带货实现的交易额占比。</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社交电商交易额占比</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企业的电子商务交易额中，通过社交电商实现的交易额占比。</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个性化定制</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企业是否开展个性化定制业务。</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智能制造</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企业是否自建或协作数字化工厂。</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快反供应链</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企业是否具备基于用户反馈的快速研发、设计能力。</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数字供应链</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企业是否通过数字化方式连接上游生产制造企业。</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应急保障</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应急保障机制</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企业是否建立应急保障机制，确保在自然灾害、突发疫情等重大事件中能够为社会提供应急物资。</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供应物资货值</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在报告年度内，企业为社会提供的应急物资对应的货值。</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相关工作或活动的通知、记录、报道、照片、文档等。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eastAsia="宋体" w:cs="宋体"/>
                <w:color w:val="000000" w:themeColor="text1"/>
                <w:kern w:val="0"/>
                <w:sz w:val="21"/>
                <w:szCs w:val="21"/>
                <w:lang w:eastAsia="zh-CN"/>
                <w14:textFill>
                  <w14:solidFill>
                    <w14:schemeClr w14:val="tx1"/>
                  </w14:solidFill>
                </w14:textFill>
              </w:rPr>
            </w:pPr>
            <w:r>
              <w:rPr>
                <w:rFonts w:hint="eastAsia" w:cs="宋体"/>
                <w:color w:val="000000" w:themeColor="text1"/>
                <w:kern w:val="0"/>
                <w:sz w:val="21"/>
                <w:szCs w:val="21"/>
                <w14:textFill>
                  <w14:solidFill>
                    <w14:schemeClr w14:val="tx1"/>
                  </w14:solidFill>
                </w14:textFill>
              </w:rPr>
              <w:t>带动能力</w:t>
            </w:r>
          </w:p>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（2</w:t>
            </w:r>
            <w:r>
              <w:rPr>
                <w:rFonts w:cs="宋体"/>
                <w:color w:val="000000" w:themeColor="text1"/>
                <w:kern w:val="0"/>
                <w:sz w:val="21"/>
                <w:szCs w:val="21"/>
                <w14:textFill>
                  <w14:solidFill>
                    <w14:schemeClr w14:val="tx1"/>
                  </w14:solidFill>
                </w14:textFill>
              </w:rPr>
              <w:t>0</w:t>
            </w:r>
            <w:r>
              <w:rPr>
                <w:rFonts w:hint="eastAsia" w:cs="宋体"/>
                <w:color w:val="000000" w:themeColor="text1"/>
                <w:kern w:val="0"/>
                <w:sz w:val="21"/>
                <w:szCs w:val="21"/>
                <w14:textFill>
                  <w14:solidFill>
                    <w14:schemeClr w14:val="tx1"/>
                  </w14:solidFill>
                </w14:textFill>
              </w:rPr>
              <w:t>分）</w:t>
            </w: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扶农助农</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农产品上行</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是否应用社交电商模式助力农产品上行，促进农民增收。</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lang w:val="en"/>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精准帮扶</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是否通过电子商务助力农村人口就业创业和增收。</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农产品网上零售额</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1.报告年度内，企业实现的农产品网上零售额；</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农产品网上零售额增长率</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计算公式为：(报告年度末农产品网上零售额/上一年度末农产品网上零售额-1)×100%。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孵化农产品品牌</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报告年度内，企业孵化的农产品品牌数量。</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建有农村电商服务载体</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报告年度内，企业在农村地区新建电商中心、配送网点、服务站等载体数量。</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实体商业</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新模式新业态应用</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企业是否运用社交、直播、小程序等电商新模式与实体商业实现线上线下融合发展。</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布局线下渠道</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企业是否通过开设实体店、投资并购、扩展销售渠道等方式布局线下业态。</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产业带动</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带动传统品牌数量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报告年度内，企业带动多少个传统品牌实现销售、营销等环节的线上化。</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带动新国货品牌数量</w:t>
            </w:r>
            <w:r>
              <w:rPr>
                <w:rFonts w:cs="宋体" w:asciiTheme="majorEastAsia" w:hAnsiTheme="majorEastAsia" w:eastAsiaTheme="majorEastAsia"/>
                <w:color w:val="000000" w:themeColor="text1"/>
                <w:kern w:val="0"/>
                <w:sz w:val="21"/>
                <w:szCs w:val="21"/>
                <w14:textFill>
                  <w14:solidFill>
                    <w14:schemeClr w14:val="tx1"/>
                  </w14:solidFill>
                </w14:textFill>
              </w:rPr>
              <w:t>（3分）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报告年度内，企业带动多少个新国货品牌实现销售、营销等环节的线上化。</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产业带促进</w:t>
            </w:r>
            <w:r>
              <w:rPr>
                <w:rFonts w:cs="宋体" w:asciiTheme="majorEastAsia" w:hAnsiTheme="majorEastAsia" w:eastAsiaTheme="majorEastAsia"/>
                <w:color w:val="000000" w:themeColor="text1"/>
                <w:kern w:val="0"/>
                <w:sz w:val="21"/>
                <w:szCs w:val="21"/>
                <w14:textFill>
                  <w14:solidFill>
                    <w14:schemeClr w14:val="tx1"/>
                  </w14:solidFill>
                </w14:textFill>
              </w:rPr>
              <w:t>（3分）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企业是否在产业带开展相关活动，促进产业带电子商务应用。</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74" w:type="dxa"/>
            <w:gridSpan w:val="7"/>
            <w:tcBorders>
              <w:tl2br w:val="nil"/>
              <w:tr2bl w:val="nil"/>
            </w:tcBorders>
            <w:shd w:val="clear" w:color="000000" w:fill="FFFFFF"/>
            <w:vAlign w:val="top"/>
          </w:tcPr>
          <w:p>
            <w:pPr>
              <w:widowControl/>
              <w:spacing w:before="156" w:after="156" w:line="280" w:lineRule="exact"/>
              <w:ind w:firstLine="402"/>
              <w:jc w:val="center"/>
              <w:rPr>
                <w:rFonts w:ascii="楷体_GB2312" w:hAnsi="楷体_GB2312" w:eastAsia="楷体_GB2312" w:cs="楷体_GB2312"/>
                <w:b/>
                <w:bCs/>
                <w:color w:val="000000" w:themeColor="text1"/>
                <w:kern w:val="0"/>
                <w:sz w:val="20"/>
                <w:szCs w:val="20"/>
                <w14:textFill>
                  <w14:solidFill>
                    <w14:schemeClr w14:val="tx1"/>
                  </w14:solidFill>
                </w14:textFill>
              </w:rPr>
            </w:pPr>
            <w:r>
              <w:rPr>
                <w:rFonts w:hint="eastAsia" w:ascii="楷体_GB2312" w:hAnsi="楷体_GB2312" w:eastAsia="楷体_GB2312" w:cs="楷体_GB2312"/>
                <w:b/>
                <w:bCs/>
                <w:color w:val="000000" w:themeColor="text1"/>
                <w:kern w:val="0"/>
                <w:sz w:val="20"/>
                <w:szCs w:val="20"/>
                <w14:textFill>
                  <w14:solidFill>
                    <w14:schemeClr w14:val="tx1"/>
                  </w14:solidFill>
                </w14:textFill>
              </w:rPr>
              <w:t>数字生活服务型平台企业</w:t>
            </w:r>
            <w:r>
              <w:rPr>
                <w:rFonts w:hint="eastAsia" w:ascii="楷体_GB2312" w:hAnsi="楷体_GB2312" w:eastAsia="楷体_GB2312" w:cs="楷体_GB2312"/>
                <w:b/>
                <w:bCs/>
                <w:color w:val="000000" w:themeColor="text1"/>
                <w:kern w:val="0"/>
                <w:sz w:val="20"/>
                <w:szCs w:val="20"/>
                <w:lang w:val="en-US" w:eastAsia="zh-CN"/>
                <w14:textFill>
                  <w14:solidFill>
                    <w14:schemeClr w14:val="tx1"/>
                  </w14:solidFill>
                </w14:textFill>
              </w:rPr>
              <w:t>评价指标（50分）</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tcBorders>
              <w:tl2br w:val="nil"/>
              <w:tr2bl w:val="nil"/>
            </w:tcBorders>
            <w:shd w:val="clear" w:color="auto" w:fill="auto"/>
            <w:vAlign w:val="center"/>
          </w:tcPr>
          <w:p>
            <w:pPr>
              <w:widowControl/>
              <w:spacing w:before="156" w:after="156" w:line="280" w:lineRule="exact"/>
              <w:ind w:firstLine="0" w:firstLineChars="0"/>
              <w:jc w:val="center"/>
              <w:rPr>
                <w:rFonts w:cs="宋体"/>
                <w:b/>
                <w:bCs/>
                <w:color w:val="000000" w:themeColor="text1"/>
                <w:kern w:val="0"/>
                <w:sz w:val="20"/>
                <w:szCs w:val="20"/>
                <w14:textFill>
                  <w14:solidFill>
                    <w14:schemeClr w14:val="tx1"/>
                  </w14:solidFill>
                </w14:textFill>
              </w:rPr>
            </w:pPr>
            <w:r>
              <w:rPr>
                <w:rFonts w:hint="eastAsia" w:cs="宋体"/>
                <w:b/>
                <w:bCs/>
                <w:color w:val="000000" w:themeColor="text1"/>
                <w:kern w:val="0"/>
                <w:sz w:val="20"/>
                <w:szCs w:val="20"/>
                <w14:textFill>
                  <w14:solidFill>
                    <w14:schemeClr w14:val="tx1"/>
                  </w14:solidFill>
                </w14:textFill>
              </w:rPr>
              <w:t>一级指标</w:t>
            </w:r>
          </w:p>
        </w:tc>
        <w:tc>
          <w:tcPr>
            <w:tcW w:w="2005" w:type="dxa"/>
            <w:tcBorders>
              <w:tl2br w:val="nil"/>
              <w:tr2bl w:val="nil"/>
            </w:tcBorders>
            <w:shd w:val="clear" w:color="auto" w:fill="auto"/>
            <w:vAlign w:val="center"/>
          </w:tcPr>
          <w:p>
            <w:pPr>
              <w:widowControl/>
              <w:spacing w:before="156" w:after="156" w:line="280" w:lineRule="exact"/>
              <w:ind w:firstLine="402"/>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二级指标</w:t>
            </w:r>
          </w:p>
        </w:tc>
        <w:tc>
          <w:tcPr>
            <w:tcW w:w="2689" w:type="dxa"/>
            <w:tcBorders>
              <w:tl2br w:val="nil"/>
              <w:tr2bl w:val="nil"/>
            </w:tcBorders>
            <w:shd w:val="clear" w:color="auto" w:fill="auto"/>
            <w:vAlign w:val="center"/>
          </w:tcPr>
          <w:p>
            <w:pPr>
              <w:widowControl/>
              <w:spacing w:before="156" w:after="156" w:line="280" w:lineRule="exact"/>
              <w:ind w:firstLine="402"/>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三级指标</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单位</w:t>
            </w:r>
          </w:p>
        </w:tc>
        <w:tc>
          <w:tcPr>
            <w:tcW w:w="3050" w:type="dxa"/>
            <w:tcBorders>
              <w:tl2br w:val="nil"/>
              <w:tr2bl w:val="nil"/>
            </w:tcBorders>
            <w:shd w:val="clear" w:color="auto" w:fill="auto"/>
            <w:vAlign w:val="top"/>
          </w:tcPr>
          <w:p>
            <w:pPr>
              <w:widowControl/>
              <w:spacing w:before="156" w:after="156" w:line="280" w:lineRule="exact"/>
              <w:ind w:firstLine="402"/>
              <w:jc w:val="both"/>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指标解释与填报注意事项</w:t>
            </w:r>
          </w:p>
        </w:tc>
        <w:tc>
          <w:tcPr>
            <w:tcW w:w="2576" w:type="dxa"/>
            <w:tcBorders>
              <w:tl2br w:val="nil"/>
              <w:tr2bl w:val="nil"/>
            </w:tcBorders>
            <w:shd w:val="clear" w:color="auto" w:fill="auto"/>
            <w:vAlign w:val="center"/>
          </w:tcPr>
          <w:p>
            <w:pPr>
              <w:widowControl/>
              <w:spacing w:before="156" w:after="156" w:line="280" w:lineRule="exact"/>
              <w:ind w:firstLine="402"/>
              <w:jc w:val="center"/>
              <w:rPr>
                <w:rFonts w:cs="宋体" w:asciiTheme="majorEastAsia" w:hAnsiTheme="majorEastAsia" w:eastAsiaTheme="majorEastAsia"/>
                <w:b/>
                <w:bCs/>
                <w:color w:val="000000" w:themeColor="text1"/>
                <w:kern w:val="0"/>
                <w:sz w:val="20"/>
                <w:szCs w:val="20"/>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14:textFill>
                  <w14:solidFill>
                    <w14:schemeClr w14:val="tx1"/>
                  </w14:solidFill>
                </w14:textFill>
              </w:rPr>
              <w:t>需提交证明材料</w:t>
            </w:r>
          </w:p>
        </w:tc>
        <w:tc>
          <w:tcPr>
            <w:tcW w:w="1776" w:type="dxa"/>
            <w:tcBorders>
              <w:tl2br w:val="nil"/>
              <w:tr2bl w:val="nil"/>
            </w:tcBorders>
            <w:shd w:val="clear" w:color="auto" w:fill="auto"/>
            <w:vAlign w:val="center"/>
          </w:tcPr>
          <w:p>
            <w:pPr>
              <w:widowControl/>
              <w:spacing w:before="156" w:after="156" w:line="280" w:lineRule="exact"/>
              <w:ind w:firstLine="402"/>
              <w:jc w:val="center"/>
              <w:rPr>
                <w:rFonts w:hint="eastAsia" w:cs="宋体" w:asciiTheme="majorEastAsia" w:hAnsiTheme="majorEastAsia" w:eastAsiaTheme="majorEastAsia"/>
                <w:b/>
                <w:bCs/>
                <w:color w:val="000000" w:themeColor="text1"/>
                <w:kern w:val="0"/>
                <w:sz w:val="20"/>
                <w:szCs w:val="20"/>
                <w:lang w:val="en-US" w:eastAsia="zh-CN"/>
                <w14:textFill>
                  <w14:solidFill>
                    <w14:schemeClr w14:val="tx1"/>
                  </w14:solidFill>
                </w14:textFill>
              </w:rPr>
            </w:pPr>
            <w:r>
              <w:rPr>
                <w:rFonts w:hint="eastAsia" w:cs="宋体" w:asciiTheme="majorEastAsia" w:hAnsiTheme="majorEastAsia" w:eastAsiaTheme="majorEastAsia"/>
                <w:b/>
                <w:bCs/>
                <w:color w:val="000000" w:themeColor="text1"/>
                <w:kern w:val="0"/>
                <w:sz w:val="20"/>
                <w:szCs w:val="20"/>
                <w:lang w:val="en-US" w:eastAsia="zh-CN"/>
                <w14:textFill>
                  <w14:solidFill>
                    <w14:schemeClr w14:val="tx1"/>
                  </w14:solidFill>
                </w14:textFill>
              </w:rPr>
              <w:t>得分</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eastAsia="宋体" w:cs="宋体"/>
                <w:color w:val="000000" w:themeColor="text1"/>
                <w:kern w:val="0"/>
                <w:sz w:val="21"/>
                <w:szCs w:val="21"/>
                <w:lang w:eastAsia="zh-CN"/>
                <w14:textFill>
                  <w14:solidFill>
                    <w14:schemeClr w14:val="tx1"/>
                  </w14:solidFill>
                </w14:textFill>
              </w:rPr>
            </w:pPr>
            <w:r>
              <w:rPr>
                <w:rFonts w:hint="eastAsia" w:cs="宋体"/>
                <w:color w:val="000000" w:themeColor="text1"/>
                <w:kern w:val="0"/>
                <w:sz w:val="21"/>
                <w:szCs w:val="21"/>
                <w14:textFill>
                  <w14:solidFill>
                    <w14:schemeClr w14:val="tx1"/>
                  </w14:solidFill>
                </w14:textFill>
              </w:rPr>
              <w:t>经营能力</w:t>
            </w:r>
          </w:p>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2</w:t>
            </w:r>
            <w:r>
              <w:rPr>
                <w:rFonts w:cs="宋体"/>
                <w:color w:val="000000" w:themeColor="text1"/>
                <w:kern w:val="0"/>
                <w:sz w:val="21"/>
                <w:szCs w:val="21"/>
                <w14:textFill>
                  <w14:solidFill>
                    <w14:schemeClr w14:val="tx1"/>
                  </w14:solidFill>
                </w14:textFill>
              </w:rPr>
              <w:t>5</w:t>
            </w:r>
            <w:r>
              <w:rPr>
                <w:rFonts w:hint="eastAsia" w:cs="宋体"/>
                <w:color w:val="000000" w:themeColor="text1"/>
                <w:kern w:val="0"/>
                <w:sz w:val="21"/>
                <w:szCs w:val="21"/>
                <w14:textFill>
                  <w14:solidFill>
                    <w14:schemeClr w14:val="tx1"/>
                  </w14:solidFill>
                </w14:textFill>
              </w:rPr>
              <w:t>分）</w:t>
            </w: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业务规模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订单量（</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hint="eastAsia"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万件</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1.报告年度内，企业实现的网络化服务订单量；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2.单位：万件。不要自行改变单位；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网络化服务收入</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1.报告年度内，企业实现的网络化服务收入，包括外卖、教育、出行、健康、住宿、文娱、健身等；</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网络化服务收入增长率</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计算公式为：(报告年度末网络化服务收入/上一年度末网络化服务收入-1)×100%。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用户规模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用户注册数量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1.报告年度内，平台上的用户注册数量；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用户注册数量增长率</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计算公式为：(报告年度末用户注册数量/上一年度末用户注册数量-1)×100%。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bookmarkStart w:id="0" w:name="OLE_LINK6"/>
            <w:bookmarkStart w:id="1" w:name="OLE_LINK5"/>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bookmarkEnd w:id="0"/>
            <w:bookmarkEnd w:id="1"/>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432" w:firstLineChars="206"/>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共享经济</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共享类型服务</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企业是否提供共享类型服务。</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共享类型服务交易额</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1.报告年度内，企业实现的共享类型服务交易额；</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共享类型服务交易额占比</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企业的网络化服务收入中，共享类型服务占比。</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平台内经营者规模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平台内经营者数量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1.报告年度内，平台上的经营者数量；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平台内经营者数量增长率</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计算公式为：(报告年度末平台内经营者数量/上一年度末平台内经营者数量-1)×100%。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eastAsia="宋体" w:cs="宋体"/>
                <w:color w:val="000000" w:themeColor="text1"/>
                <w:kern w:val="0"/>
                <w:sz w:val="21"/>
                <w:szCs w:val="21"/>
                <w:lang w:eastAsia="zh-CN"/>
                <w14:textFill>
                  <w14:solidFill>
                    <w14:schemeClr w14:val="tx1"/>
                  </w14:solidFill>
                </w14:textFill>
              </w:rPr>
            </w:pPr>
            <w:r>
              <w:rPr>
                <w:rFonts w:hint="eastAsia" w:cs="宋体"/>
                <w:color w:val="000000" w:themeColor="text1"/>
                <w:kern w:val="0"/>
                <w:sz w:val="21"/>
                <w:szCs w:val="21"/>
                <w14:textFill>
                  <w14:solidFill>
                    <w14:schemeClr w14:val="tx1"/>
                  </w14:solidFill>
                </w14:textFill>
              </w:rPr>
              <w:t>示范能力</w:t>
            </w:r>
          </w:p>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2</w:t>
            </w:r>
            <w:r>
              <w:rPr>
                <w:rFonts w:cs="宋体"/>
                <w:color w:val="000000" w:themeColor="text1"/>
                <w:kern w:val="0"/>
                <w:sz w:val="21"/>
                <w:szCs w:val="21"/>
                <w14:textFill>
                  <w14:solidFill>
                    <w14:schemeClr w14:val="tx1"/>
                  </w14:solidFill>
                </w14:textFill>
              </w:rPr>
              <w:t>5</w:t>
            </w:r>
            <w:r>
              <w:rPr>
                <w:rFonts w:hint="eastAsia" w:cs="宋体"/>
                <w:color w:val="000000" w:themeColor="text1"/>
                <w:kern w:val="0"/>
                <w:sz w:val="21"/>
                <w:szCs w:val="21"/>
                <w14:textFill>
                  <w14:solidFill>
                    <w14:schemeClr w14:val="tx1"/>
                  </w14:solidFill>
                </w14:textFill>
              </w:rPr>
              <w:t>分）</w:t>
            </w: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技术创新</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人工智能</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4</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企业是否在用户管理、订单管理、路径优化等方面运用人工智能技术。</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大数据</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6</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企业是否在用户画像管理、用户行为分析、算法决策等方面运用大数据技术。</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无人设备</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企业是否通过无人机、无人车、无人终端等无人设备提供服务。</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其他技术创新</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4</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企业是否开展上述技术以外的其他技术创新。</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tcBorders>
              <w:tl2br w:val="nil"/>
              <w:tr2bl w:val="nil"/>
            </w:tcBorders>
            <w:vAlign w:val="center"/>
          </w:tcPr>
          <w:p>
            <w:pPr>
              <w:widowControl/>
              <w:spacing w:before="156" w:after="156" w:line="280" w:lineRule="exact"/>
              <w:ind w:firstLine="420" w:firstLineChars="2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olor w:val="000000" w:themeColor="text1"/>
                <w:sz w:val="21"/>
                <w:szCs w:val="21"/>
                <w14:textFill>
                  <w14:solidFill>
                    <w14:schemeClr w14:val="tx1"/>
                  </w14:solidFill>
                </w14:textFill>
              </w:rPr>
              <w:t>模式创新</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olor w:val="000000" w:themeColor="text1"/>
                <w:sz w:val="21"/>
                <w:szCs w:val="21"/>
                <w14:textFill>
                  <w14:solidFill>
                    <w14:schemeClr w14:val="tx1"/>
                  </w14:solidFill>
                </w14:textFill>
              </w:rPr>
              <w:t>商业模式创新（</w:t>
            </w:r>
            <w:r>
              <w:rPr>
                <w:rFonts w:hint="eastAsia"/>
                <w:color w:val="000000" w:themeColor="text1"/>
                <w:sz w:val="21"/>
                <w:szCs w:val="21"/>
                <w:lang w:val="en-US" w:eastAsia="zh-CN"/>
                <w14:textFill>
                  <w14:solidFill>
                    <w14:schemeClr w14:val="tx1"/>
                  </w14:solidFill>
                </w14:textFill>
              </w:rPr>
              <w:t>4</w:t>
            </w:r>
            <w:r>
              <w:rPr>
                <w:rFonts w:hint="eastAsia"/>
                <w:color w:val="000000" w:themeColor="text1"/>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olor w:val="000000" w:themeColor="text1"/>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olor w:val="000000" w:themeColor="text1"/>
                <w:sz w:val="21"/>
                <w:szCs w:val="21"/>
                <w14:textFill>
                  <w14:solidFill>
                    <w14:schemeClr w14:val="tx1"/>
                  </w14:solidFill>
                </w14:textFill>
              </w:rPr>
              <w:t>是否具有商业模式创新案例，并经宣传推广。</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olor w:val="000000" w:themeColor="text1"/>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应急保障</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应急保障机制</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企业是否建立应急保障机制，确保在自然灾害、突发疫情等重大事件中能够为社会提供应急服务。</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供应物资货值</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在报告年度内，企业为社会提供的应急服务对应的价值。</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相关工作或活动的通知、记录、报道、照片、文档等。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74" w:type="dxa"/>
            <w:gridSpan w:val="7"/>
            <w:tcBorders>
              <w:tl2br w:val="nil"/>
              <w:tr2bl w:val="nil"/>
            </w:tcBorders>
            <w:shd w:val="clear" w:color="auto" w:fill="auto"/>
            <w:vAlign w:val="top"/>
          </w:tcPr>
          <w:p>
            <w:pPr>
              <w:widowControl/>
              <w:spacing w:before="156" w:after="156" w:line="280" w:lineRule="exact"/>
              <w:ind w:firstLine="482"/>
              <w:jc w:val="center"/>
              <w:rPr>
                <w:rFonts w:hint="eastAsia" w:ascii="黑体" w:hAnsi="黑体" w:eastAsia="黑体" w:cs="宋体"/>
                <w:b/>
                <w:bCs/>
                <w:color w:val="000000" w:themeColor="text1"/>
                <w:kern w:val="0"/>
                <w:sz w:val="24"/>
                <w:szCs w:val="24"/>
                <w:lang w:eastAsia="zh-CN"/>
                <w14:textFill>
                  <w14:solidFill>
                    <w14:schemeClr w14:val="tx1"/>
                  </w14:solidFill>
                </w14:textFill>
              </w:rPr>
            </w:pPr>
            <w:r>
              <w:rPr>
                <w:rFonts w:hint="eastAsia" w:ascii="黑体" w:hAnsi="黑体" w:eastAsia="黑体" w:cs="宋体"/>
                <w:b/>
                <w:bCs/>
                <w:color w:val="000000" w:themeColor="text1"/>
                <w:kern w:val="0"/>
                <w:sz w:val="24"/>
                <w:szCs w:val="24"/>
                <w14:textFill>
                  <w14:solidFill>
                    <w14:schemeClr w14:val="tx1"/>
                  </w14:solidFill>
                </w14:textFill>
              </w:rPr>
              <w:t>品牌经销</w:t>
            </w:r>
            <w:r>
              <w:rPr>
                <w:rFonts w:hint="eastAsia" w:ascii="黑体" w:hAnsi="黑体" w:eastAsia="黑体" w:cs="宋体"/>
                <w:b/>
                <w:bCs/>
                <w:color w:val="000000" w:themeColor="text1"/>
                <w:kern w:val="0"/>
                <w:sz w:val="24"/>
                <w:szCs w:val="24"/>
                <w:lang w:eastAsia="zh-CN"/>
                <w14:textFill>
                  <w14:solidFill>
                    <w14:schemeClr w14:val="tx1"/>
                  </w14:solidFill>
                </w14:textFill>
              </w:rPr>
              <w:t>型</w:t>
            </w:r>
            <w:r>
              <w:rPr>
                <w:rFonts w:hint="eastAsia" w:ascii="黑体" w:hAnsi="黑体" w:eastAsia="黑体" w:cs="宋体"/>
                <w:b/>
                <w:bCs/>
                <w:color w:val="000000" w:themeColor="text1"/>
                <w:kern w:val="0"/>
                <w:sz w:val="24"/>
                <w:szCs w:val="24"/>
                <w14:textFill>
                  <w14:solidFill>
                    <w14:schemeClr w14:val="tx1"/>
                  </w14:solidFill>
                </w14:textFill>
              </w:rPr>
              <w:t>企业</w:t>
            </w:r>
            <w:r>
              <w:rPr>
                <w:rFonts w:hint="eastAsia" w:ascii="黑体" w:hAnsi="黑体" w:eastAsia="黑体" w:cs="宋体"/>
                <w:b/>
                <w:bCs/>
                <w:color w:val="000000" w:themeColor="text1"/>
                <w:kern w:val="0"/>
                <w:sz w:val="24"/>
                <w:szCs w:val="24"/>
                <w:lang w:eastAsia="zh-CN"/>
                <w14:textFill>
                  <w14:solidFill>
                    <w14:schemeClr w14:val="tx1"/>
                  </w14:solidFill>
                </w14:textFill>
              </w:rPr>
              <w:t>（</w:t>
            </w:r>
            <w:r>
              <w:rPr>
                <w:rFonts w:hint="eastAsia" w:ascii="黑体" w:hAnsi="黑体" w:eastAsia="黑体" w:cs="宋体"/>
                <w:b/>
                <w:bCs/>
                <w:color w:val="000000" w:themeColor="text1"/>
                <w:kern w:val="0"/>
                <w:sz w:val="24"/>
                <w:szCs w:val="24"/>
                <w:lang w:val="en-US" w:eastAsia="zh-CN"/>
                <w14:textFill>
                  <w14:solidFill>
                    <w14:schemeClr w14:val="tx1"/>
                  </w14:solidFill>
                </w14:textFill>
              </w:rPr>
              <w:t>50分</w:t>
            </w:r>
            <w:r>
              <w:rPr>
                <w:rFonts w:hint="eastAsia" w:ascii="黑体" w:hAnsi="黑体" w:eastAsia="黑体" w:cs="宋体"/>
                <w:b/>
                <w:bCs/>
                <w:color w:val="000000" w:themeColor="text1"/>
                <w:kern w:val="0"/>
                <w:sz w:val="24"/>
                <w:szCs w:val="24"/>
                <w:lang w:eastAsia="zh-CN"/>
                <w14:textFill>
                  <w14:solidFill>
                    <w14:schemeClr w14:val="tx1"/>
                  </w14:solidFill>
                </w14:textFill>
              </w:rPr>
              <w:t>）</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tcBorders>
              <w:tl2br w:val="nil"/>
              <w:tr2bl w:val="nil"/>
            </w:tcBorders>
            <w:shd w:val="clear" w:color="auto" w:fill="auto"/>
            <w:vAlign w:val="center"/>
          </w:tcPr>
          <w:p>
            <w:pPr>
              <w:widowControl/>
              <w:spacing w:before="156" w:after="156" w:line="280" w:lineRule="exact"/>
              <w:ind w:firstLine="0" w:firstLineChars="0"/>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一级指标</w:t>
            </w:r>
          </w:p>
        </w:tc>
        <w:tc>
          <w:tcPr>
            <w:tcW w:w="2005" w:type="dxa"/>
            <w:tcBorders>
              <w:tl2br w:val="nil"/>
              <w:tr2bl w:val="nil"/>
            </w:tcBorders>
            <w:shd w:val="clear" w:color="auto" w:fill="auto"/>
            <w:vAlign w:val="center"/>
          </w:tcPr>
          <w:p>
            <w:pPr>
              <w:widowControl/>
              <w:spacing w:before="156" w:after="156" w:line="280" w:lineRule="exact"/>
              <w:ind w:firstLine="402"/>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二级指标</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三级指标</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单位</w:t>
            </w:r>
          </w:p>
        </w:tc>
        <w:tc>
          <w:tcPr>
            <w:tcW w:w="3050" w:type="dxa"/>
            <w:tcBorders>
              <w:tl2br w:val="nil"/>
              <w:tr2bl w:val="nil"/>
            </w:tcBorders>
            <w:shd w:val="clear" w:color="auto" w:fill="auto"/>
            <w:vAlign w:val="top"/>
          </w:tcPr>
          <w:p>
            <w:pPr>
              <w:widowControl/>
              <w:spacing w:before="156" w:after="156" w:line="280" w:lineRule="exact"/>
              <w:ind w:firstLine="402"/>
              <w:jc w:val="both"/>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指标解释与填报注意事项</w:t>
            </w:r>
          </w:p>
        </w:tc>
        <w:tc>
          <w:tcPr>
            <w:tcW w:w="2576" w:type="dxa"/>
            <w:tcBorders>
              <w:tl2br w:val="nil"/>
              <w:tr2bl w:val="nil"/>
            </w:tcBorders>
            <w:shd w:val="clear" w:color="auto" w:fill="auto"/>
            <w:vAlign w:val="center"/>
          </w:tcPr>
          <w:p>
            <w:pPr>
              <w:widowControl/>
              <w:spacing w:before="156" w:after="156" w:line="280" w:lineRule="exact"/>
              <w:ind w:firstLine="402"/>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需提交证明材料</w:t>
            </w:r>
          </w:p>
        </w:tc>
        <w:tc>
          <w:tcPr>
            <w:tcW w:w="1776" w:type="dxa"/>
            <w:tcBorders>
              <w:tl2br w:val="nil"/>
              <w:tr2bl w:val="nil"/>
            </w:tcBorders>
            <w:shd w:val="clear" w:color="auto" w:fill="auto"/>
            <w:vAlign w:val="center"/>
          </w:tcPr>
          <w:p>
            <w:pPr>
              <w:widowControl/>
              <w:spacing w:before="156" w:after="156" w:line="280" w:lineRule="exact"/>
              <w:ind w:firstLine="402"/>
              <w:jc w:val="center"/>
              <w:rPr>
                <w:rFonts w:hint="eastAsia" w:asciiTheme="majorEastAsia" w:hAnsiTheme="majorEastAsia" w:eastAsiaTheme="majorEastAsia" w:cstheme="majorEastAsia"/>
                <w:b/>
                <w:bCs/>
                <w:color w:val="000000" w:themeColor="text1"/>
                <w:kern w:val="0"/>
                <w:sz w:val="20"/>
                <w:szCs w:val="20"/>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lang w:val="en-US" w:eastAsia="zh-CN"/>
                <w14:textFill>
                  <w14:solidFill>
                    <w14:schemeClr w14:val="tx1"/>
                  </w14:solidFill>
                </w14:textFill>
              </w:rPr>
              <w:t>得分</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cs="宋体" w:asciiTheme="majorEastAsia" w:hAnsiTheme="majorEastAsia" w:eastAsiaTheme="majorEastAsia"/>
                <w:color w:val="000000" w:themeColor="text1"/>
                <w:kern w:val="0"/>
                <w:sz w:val="21"/>
                <w:szCs w:val="21"/>
                <w:lang w:eastAsia="zh-CN"/>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经营能力</w:t>
            </w:r>
          </w:p>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5分）</w:t>
            </w:r>
          </w:p>
          <w:p>
            <w:pPr>
              <w:pStyle w:val="2"/>
              <w:spacing w:before="156" w:after="156"/>
              <w:ind w:left="560" w:firstLine="56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业务规模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订单量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4</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万件</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1.报告年度内，企业实现的电子商务订单量；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2.单位：万件。不要自行改变单位；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电子商务销售额</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4</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1.报告年度内，企业实现的电子商务销售额；</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电子商务销售额增长率</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计算公式为：(报告年度末电子商务销售额/上一年度末电子商务销售额-1)×100%。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线上销售额占比</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企业线上销售额在销售总额中的占比。</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品牌数量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5</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企业拥有的品牌数量。</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申请的商标及相应文件。</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渠道建设</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入驻线上平台数量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报告年度末，企业已经入驻并开展线上销售业务的电子商务平台数量。</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自建销售渠道</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企业是否通过自建站、App、小程序、公众号等方式自建销售渠道。</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线下渠道布局</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企业是否通过入驻卖场、与经销商合作、开实体店等方式布局线下渠道。</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cs="宋体" w:asciiTheme="majorEastAsia" w:hAnsiTheme="majorEastAsia" w:eastAsiaTheme="majorEastAsia"/>
                <w:color w:val="000000" w:themeColor="text1"/>
                <w:kern w:val="0"/>
                <w:sz w:val="21"/>
                <w:szCs w:val="21"/>
                <w:lang w:eastAsia="zh-CN"/>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示范能力</w:t>
            </w:r>
          </w:p>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5</w:t>
            </w:r>
            <w:r>
              <w:rPr>
                <w:rFonts w:hint="eastAsia" w:cs="宋体" w:asciiTheme="majorEastAsia" w:hAnsiTheme="majorEastAsia" w:eastAsiaTheme="majorEastAsia"/>
                <w:color w:val="000000" w:themeColor="text1"/>
                <w:kern w:val="0"/>
                <w:sz w:val="21"/>
                <w:szCs w:val="21"/>
                <w14:textFill>
                  <w14:solidFill>
                    <w14:schemeClr w14:val="tx1"/>
                  </w14:solidFill>
                </w14:textFill>
              </w:rPr>
              <w:t>分）</w:t>
            </w: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模式创新</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自有渠道销售额占比</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企业的电子商务销售额中，通过自建渠道实现的销售额占比。</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社交电商销售额占比</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企业的电子商务销售额中，通过社交电商实现的销售额占比。</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直播电商销售额占比</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企业的电子商务销售额中，通过直播电商实现的销售额占比。</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反向定制交易额占比</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企业的电子商务交易额中，反向定制类的交易额占比。</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智能制造</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数字化工厂</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企业是否自建或协作数字化工厂。</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数字供应链</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企业是否通过数字化方式连接上下游企业。</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个性化定制</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企业是否开展C2M个性化定制业务。</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快反供应链</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企业是否具备基于用户反馈的快速研发、设计能力。</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2"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品牌出海</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开展跨境电商业务</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企业是否通过跨境电商将商品销售到境外国家或地区。</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4"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跨境电商交易额</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1.报告年度内，企业实现的跨境电子商务出口交易规模；</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跨境电商交易额增长率</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计算公式为：(报告年度末跨境电商交易额/上一年度末跨境电商交易额-1)×100%。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1"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覆盖“一带一路”沿线国家</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企业跨境电商出口目的地国中是否包含“一带一路”沿线国家。</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交易凭证或新闻报道等。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bookmarkStart w:id="2" w:name="_Hlk98510369"/>
          </w:p>
        </w:tc>
        <w:tc>
          <w:tcPr>
            <w:tcW w:w="2005" w:type="dxa"/>
            <w:vMerge w:val="continue"/>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覆盖新兴市场国家</w:t>
            </w:r>
            <w:r>
              <w:rPr>
                <w:rFonts w:cs="宋体" w:asciiTheme="majorEastAsia" w:hAnsiTheme="majorEastAsia" w:eastAsiaTheme="majorEastAsia"/>
                <w:color w:val="000000" w:themeColor="text1"/>
                <w:kern w:val="0"/>
                <w:sz w:val="21"/>
                <w:szCs w:val="21"/>
                <w14:textFill>
                  <w14:solidFill>
                    <w14:schemeClr w14:val="tx1"/>
                  </w14:solidFill>
                </w14:textFill>
              </w:rPr>
              <w:t>（1分）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企业跨境电商出口目的地国中是否包含新兴市场国家。</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交易凭证或新闻报道等。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bookmarkEnd w:id="2"/>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74" w:type="dxa"/>
            <w:gridSpan w:val="7"/>
            <w:tcBorders>
              <w:tl2br w:val="nil"/>
              <w:tr2bl w:val="nil"/>
            </w:tcBorders>
            <w:shd w:val="clear" w:color="auto" w:fill="auto"/>
            <w:vAlign w:val="top"/>
          </w:tcPr>
          <w:p>
            <w:pPr>
              <w:widowControl/>
              <w:spacing w:before="156" w:after="156" w:line="280" w:lineRule="exact"/>
              <w:ind w:firstLine="482"/>
              <w:jc w:val="center"/>
              <w:rPr>
                <w:rFonts w:hint="eastAsia" w:ascii="黑体" w:hAnsi="黑体" w:eastAsia="黑体" w:cs="宋体"/>
                <w:b/>
                <w:bCs/>
                <w:color w:val="000000" w:themeColor="text1"/>
                <w:kern w:val="0"/>
                <w:sz w:val="24"/>
                <w:szCs w:val="24"/>
                <w:lang w:eastAsia="zh-CN"/>
                <w14:textFill>
                  <w14:solidFill>
                    <w14:schemeClr w14:val="tx1"/>
                  </w14:solidFill>
                </w14:textFill>
              </w:rPr>
            </w:pPr>
            <w:r>
              <w:rPr>
                <w:rFonts w:hint="eastAsia" w:ascii="黑体" w:hAnsi="黑体" w:eastAsia="黑体" w:cs="宋体"/>
                <w:b/>
                <w:bCs/>
                <w:color w:val="000000" w:themeColor="text1"/>
                <w:kern w:val="0"/>
                <w:sz w:val="24"/>
                <w:szCs w:val="24"/>
                <w14:textFill>
                  <w14:solidFill>
                    <w14:schemeClr w14:val="tx1"/>
                  </w14:solidFill>
                </w14:textFill>
              </w:rPr>
              <w:t>服务</w:t>
            </w:r>
            <w:r>
              <w:rPr>
                <w:rFonts w:hint="eastAsia" w:ascii="黑体" w:hAnsi="黑体" w:eastAsia="黑体" w:cs="宋体"/>
                <w:b/>
                <w:bCs/>
                <w:color w:val="000000" w:themeColor="text1"/>
                <w:kern w:val="0"/>
                <w:sz w:val="24"/>
                <w:szCs w:val="24"/>
                <w:lang w:eastAsia="zh-CN"/>
                <w14:textFill>
                  <w14:solidFill>
                    <w14:schemeClr w14:val="tx1"/>
                  </w14:solidFill>
                </w14:textFill>
              </w:rPr>
              <w:t>型</w:t>
            </w:r>
            <w:r>
              <w:rPr>
                <w:rFonts w:hint="eastAsia" w:ascii="黑体" w:hAnsi="黑体" w:eastAsia="黑体" w:cs="宋体"/>
                <w:b/>
                <w:bCs/>
                <w:color w:val="000000" w:themeColor="text1"/>
                <w:kern w:val="0"/>
                <w:sz w:val="24"/>
                <w:szCs w:val="24"/>
                <w14:textFill>
                  <w14:solidFill>
                    <w14:schemeClr w14:val="tx1"/>
                  </w14:solidFill>
                </w14:textFill>
              </w:rPr>
              <w:t>企业</w:t>
            </w:r>
            <w:r>
              <w:rPr>
                <w:rFonts w:hint="eastAsia" w:ascii="黑体" w:hAnsi="黑体" w:eastAsia="黑体" w:cs="宋体"/>
                <w:b/>
                <w:bCs/>
                <w:color w:val="000000" w:themeColor="text1"/>
                <w:kern w:val="0"/>
                <w:sz w:val="24"/>
                <w:szCs w:val="24"/>
                <w:lang w:eastAsia="zh-CN"/>
                <w14:textFill>
                  <w14:solidFill>
                    <w14:schemeClr w14:val="tx1"/>
                  </w14:solidFill>
                </w14:textFill>
              </w:rPr>
              <w:t>（</w:t>
            </w:r>
            <w:r>
              <w:rPr>
                <w:rFonts w:hint="eastAsia" w:ascii="黑体" w:hAnsi="黑体" w:eastAsia="黑体" w:cs="宋体"/>
                <w:b/>
                <w:bCs/>
                <w:color w:val="000000" w:themeColor="text1"/>
                <w:kern w:val="0"/>
                <w:sz w:val="24"/>
                <w:szCs w:val="24"/>
                <w:lang w:val="en-US" w:eastAsia="zh-CN"/>
                <w14:textFill>
                  <w14:solidFill>
                    <w14:schemeClr w14:val="tx1"/>
                  </w14:solidFill>
                </w14:textFill>
              </w:rPr>
              <w:t>50分</w:t>
            </w:r>
            <w:r>
              <w:rPr>
                <w:rFonts w:hint="eastAsia" w:ascii="黑体" w:hAnsi="黑体" w:eastAsia="黑体" w:cs="宋体"/>
                <w:b/>
                <w:bCs/>
                <w:color w:val="000000" w:themeColor="text1"/>
                <w:kern w:val="0"/>
                <w:sz w:val="24"/>
                <w:szCs w:val="24"/>
                <w:lang w:eastAsia="zh-CN"/>
                <w14:textFill>
                  <w14:solidFill>
                    <w14:schemeClr w14:val="tx1"/>
                  </w14:solidFill>
                </w14:textFill>
              </w:rPr>
              <w:t>）</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tcBorders>
              <w:tl2br w:val="nil"/>
              <w:tr2bl w:val="nil"/>
            </w:tcBorders>
            <w:shd w:val="clear" w:color="auto" w:fill="auto"/>
            <w:vAlign w:val="center"/>
          </w:tcPr>
          <w:p>
            <w:pPr>
              <w:widowControl/>
              <w:spacing w:before="156" w:after="156" w:line="280" w:lineRule="exact"/>
              <w:ind w:firstLine="0" w:firstLineChars="0"/>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一级指标</w:t>
            </w:r>
          </w:p>
        </w:tc>
        <w:tc>
          <w:tcPr>
            <w:tcW w:w="2005" w:type="dxa"/>
            <w:tcBorders>
              <w:tl2br w:val="nil"/>
              <w:tr2bl w:val="nil"/>
            </w:tcBorders>
            <w:shd w:val="clear" w:color="auto" w:fill="auto"/>
            <w:vAlign w:val="center"/>
          </w:tcPr>
          <w:p>
            <w:pPr>
              <w:widowControl/>
              <w:spacing w:before="156" w:after="156" w:line="280" w:lineRule="exact"/>
              <w:ind w:firstLine="402"/>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二级指标</w:t>
            </w:r>
          </w:p>
        </w:tc>
        <w:tc>
          <w:tcPr>
            <w:tcW w:w="2689" w:type="dxa"/>
            <w:tcBorders>
              <w:tl2br w:val="nil"/>
              <w:tr2bl w:val="nil"/>
            </w:tcBorders>
            <w:shd w:val="clear" w:color="auto" w:fill="auto"/>
            <w:vAlign w:val="center"/>
          </w:tcPr>
          <w:p>
            <w:pPr>
              <w:widowControl/>
              <w:spacing w:before="156" w:after="156" w:line="280" w:lineRule="exact"/>
              <w:ind w:firstLine="402"/>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三级指标</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单位</w:t>
            </w:r>
          </w:p>
        </w:tc>
        <w:tc>
          <w:tcPr>
            <w:tcW w:w="3050" w:type="dxa"/>
            <w:tcBorders>
              <w:tl2br w:val="nil"/>
              <w:tr2bl w:val="nil"/>
            </w:tcBorders>
            <w:shd w:val="clear" w:color="auto" w:fill="auto"/>
            <w:vAlign w:val="top"/>
          </w:tcPr>
          <w:p>
            <w:pPr>
              <w:widowControl/>
              <w:spacing w:before="156" w:after="156" w:line="280" w:lineRule="exact"/>
              <w:ind w:firstLine="402"/>
              <w:jc w:val="both"/>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指标解释与填报注意事项</w:t>
            </w:r>
          </w:p>
        </w:tc>
        <w:tc>
          <w:tcPr>
            <w:tcW w:w="2576" w:type="dxa"/>
            <w:tcBorders>
              <w:tl2br w:val="nil"/>
              <w:tr2bl w:val="nil"/>
            </w:tcBorders>
            <w:shd w:val="clear" w:color="auto" w:fill="auto"/>
            <w:vAlign w:val="center"/>
          </w:tcPr>
          <w:p>
            <w:pPr>
              <w:widowControl/>
              <w:spacing w:before="156" w:after="156" w:line="280" w:lineRule="exact"/>
              <w:ind w:firstLine="402"/>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需提交证明材料</w:t>
            </w:r>
          </w:p>
        </w:tc>
        <w:tc>
          <w:tcPr>
            <w:tcW w:w="1776" w:type="dxa"/>
            <w:tcBorders>
              <w:tl2br w:val="nil"/>
              <w:tr2bl w:val="nil"/>
            </w:tcBorders>
            <w:shd w:val="clear" w:color="auto" w:fill="auto"/>
            <w:vAlign w:val="center"/>
          </w:tcPr>
          <w:p>
            <w:pPr>
              <w:widowControl/>
              <w:spacing w:before="156" w:after="156" w:line="280" w:lineRule="exact"/>
              <w:ind w:firstLine="402"/>
              <w:jc w:val="center"/>
              <w:rPr>
                <w:rFonts w:hint="eastAsia" w:asciiTheme="majorEastAsia" w:hAnsiTheme="majorEastAsia" w:eastAsiaTheme="majorEastAsia" w:cstheme="majorEastAsia"/>
                <w:b/>
                <w:bCs/>
                <w:color w:val="000000" w:themeColor="text1"/>
                <w:kern w:val="0"/>
                <w:sz w:val="20"/>
                <w:szCs w:val="20"/>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lang w:val="en-US" w:eastAsia="zh-CN"/>
                <w14:textFill>
                  <w14:solidFill>
                    <w14:schemeClr w14:val="tx1"/>
                  </w14:solidFill>
                </w14:textFill>
              </w:rPr>
              <w:t>得分</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cs="宋体" w:asciiTheme="majorEastAsia" w:hAnsiTheme="majorEastAsia" w:eastAsiaTheme="majorEastAsia"/>
                <w:color w:val="000000" w:themeColor="text1"/>
                <w:kern w:val="0"/>
                <w:sz w:val="21"/>
                <w:szCs w:val="21"/>
                <w:lang w:eastAsia="zh-CN"/>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经营能力</w:t>
            </w:r>
          </w:p>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0分）</w:t>
            </w: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业务规模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业务量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4</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件</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1.报告年度内，企业实现的电商服务订单量；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2.单位：件。不要自行改变单位；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电商服务成交额</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5</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1.报告年度内，企业实现的电商服务成交额；</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电商服务成交额增长率</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计算公式为：(报告年度末服务成交额/上一年度末服务成交额-1)×100%。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用户规模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用户注册数量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5</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1.报告年度内，企业的用户数量；</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用户注册数量增长率</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计算公式为：(报告年度末用户数量/上一年度末用户数量-1)×100%。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cs="宋体" w:asciiTheme="majorEastAsia" w:hAnsiTheme="majorEastAsia" w:eastAsiaTheme="majorEastAsia"/>
                <w:color w:val="000000" w:themeColor="text1"/>
                <w:kern w:val="0"/>
                <w:sz w:val="21"/>
                <w:szCs w:val="21"/>
                <w:lang w:eastAsia="zh-CN"/>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示范能力</w:t>
            </w:r>
          </w:p>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cs="宋体" w:asciiTheme="majorEastAsia" w:hAnsiTheme="majorEastAsia" w:eastAsiaTheme="majorEastAsia"/>
                <w:color w:val="000000" w:themeColor="text1"/>
                <w:kern w:val="0"/>
                <w:sz w:val="21"/>
                <w:szCs w:val="21"/>
                <w14:textFill>
                  <w14:solidFill>
                    <w14:schemeClr w14:val="tx1"/>
                  </w14:solidFill>
                </w14:textFill>
              </w:rPr>
              <w:t>（1</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5</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数字技术应用</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5G</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企业是否正在探索5G在电子商务服务中的应用场景。</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人工智能</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4</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企业是否在用户管理、订单管理、路径优化等方面运用人工智能技术。</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大数据</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4</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企业是否在供需匹配、算法决策等方面运用大数据技术。</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服务出海</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境外服务</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2</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企业是否为境外的电子商务企业提供服务。</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境外服务规模</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1.报告年度内，企业在境外实现的电商服务交易规模；</w:t>
            </w:r>
          </w:p>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2.单位：万元。不要自行改变单位。</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cs="宋体" w:asciiTheme="majorEastAsia" w:hAnsiTheme="majorEastAsia" w:eastAsiaTheme="majorEastAsia"/>
                <w:color w:val="000000" w:themeColor="text1"/>
                <w:kern w:val="0"/>
                <w:sz w:val="21"/>
                <w:szCs w:val="21"/>
                <w:lang w:eastAsia="zh-CN"/>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带动能力</w:t>
            </w:r>
          </w:p>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（1</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5</w:t>
            </w:r>
            <w:r>
              <w:rPr>
                <w:rFonts w:hint="eastAsia" w:cs="宋体" w:asciiTheme="majorEastAsia" w:hAnsiTheme="majorEastAsia" w:eastAsiaTheme="majorEastAsia"/>
                <w:color w:val="000000" w:themeColor="text1"/>
                <w:kern w:val="0"/>
                <w:sz w:val="21"/>
                <w:szCs w:val="21"/>
                <w14:textFill>
                  <w14:solidFill>
                    <w14:schemeClr w14:val="tx1"/>
                  </w14:solidFill>
                </w14:textFill>
              </w:rPr>
              <w:t>分）</w:t>
            </w: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带动产业数字化</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服务传统企业</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4</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企业是否为线下传统企业提供电商服务，助力其实现数字化转型。</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服务企业数量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4</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报告年度内，企业服务的传统企业数量。</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赋能中小微企业</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提供支撑服务</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3</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是/否</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企业是否向中小企业开放端口，为其提供支撑服务，服务类型包括但不限于供需对接、资源支撑、金融信贷、技术保障、人才培训等。</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具体做法，取得进展及成效。可以提供具体案例。</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赋能企业数量</w:t>
            </w:r>
            <w:r>
              <w:rPr>
                <w:rFonts w:cs="宋体" w:asciiTheme="majorEastAsia" w:hAnsiTheme="majorEastAsia" w:eastAsiaTheme="majorEastAsia"/>
                <w:color w:val="000000" w:themeColor="text1"/>
                <w:kern w:val="0"/>
                <w:sz w:val="21"/>
                <w:szCs w:val="21"/>
                <w14:textFill>
                  <w14:solidFill>
                    <w14:schemeClr w14:val="tx1"/>
                  </w14:solidFill>
                </w14:textFill>
              </w:rPr>
              <w:t>（</w:t>
            </w:r>
            <w:r>
              <w:rPr>
                <w:rFonts w:hint="eastAsia" w:cs="宋体" w:asciiTheme="majorEastAsia" w:hAnsiTheme="majorEastAsia" w:eastAsiaTheme="majorEastAsia"/>
                <w:color w:val="000000" w:themeColor="text1"/>
                <w:kern w:val="0"/>
                <w:sz w:val="21"/>
                <w:szCs w:val="21"/>
                <w:lang w:val="en-US" w:eastAsia="zh-CN"/>
                <w14:textFill>
                  <w14:solidFill>
                    <w14:schemeClr w14:val="tx1"/>
                  </w14:solidFill>
                </w14:textFill>
              </w:rPr>
              <w:t>4</w:t>
            </w:r>
            <w:r>
              <w:rPr>
                <w:rFonts w:cs="宋体" w:asciiTheme="majorEastAsia" w:hAnsiTheme="majorEastAsia" w:eastAsiaTheme="majorEastAsia"/>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报告年度内，企业提供的支撑服务覆盖的中小企业数量。</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r>
              <w:rPr>
                <w:rFonts w:hint="eastAsia" w:cs="宋体" w:asciiTheme="majorEastAsia" w:hAnsiTheme="majorEastAsia" w:eastAsiaTheme="majorEastAsia"/>
                <w:color w:val="000000" w:themeColor="text1"/>
                <w:kern w:val="0"/>
                <w:sz w:val="21"/>
                <w:szCs w:val="21"/>
                <w14:textFill>
                  <w14:solidFill>
                    <w14:schemeClr w14:val="tx1"/>
                  </w14:solidFill>
                </w14:textFill>
              </w:rPr>
              <w:t>新闻报道等。</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asciiTheme="majorEastAsia" w:hAnsiTheme="majorEastAsia" w:eastAsiaTheme="majorEastAsia"/>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74" w:type="dxa"/>
            <w:gridSpan w:val="7"/>
            <w:tcBorders>
              <w:tl2br w:val="nil"/>
              <w:tr2bl w:val="nil"/>
            </w:tcBorders>
            <w:shd w:val="clear" w:color="auto" w:fill="auto"/>
            <w:vAlign w:val="top"/>
          </w:tcPr>
          <w:p>
            <w:pPr>
              <w:widowControl/>
              <w:spacing w:before="156" w:after="156" w:line="280" w:lineRule="exact"/>
              <w:ind w:firstLine="482"/>
              <w:jc w:val="center"/>
              <w:rPr>
                <w:rFonts w:hint="eastAsia" w:ascii="黑体" w:hAnsi="黑体" w:eastAsia="黑体" w:cs="宋体"/>
                <w:b/>
                <w:bCs/>
                <w:color w:val="000000" w:themeColor="text1"/>
                <w:kern w:val="0"/>
                <w:sz w:val="24"/>
                <w:szCs w:val="24"/>
                <w:lang w:eastAsia="zh-CN"/>
                <w14:textFill>
                  <w14:solidFill>
                    <w14:schemeClr w14:val="tx1"/>
                  </w14:solidFill>
                </w14:textFill>
              </w:rPr>
            </w:pPr>
            <w:r>
              <w:rPr>
                <w:rFonts w:hint="eastAsia" w:ascii="黑体" w:hAnsi="黑体" w:eastAsia="黑体" w:cs="宋体"/>
                <w:b/>
                <w:bCs/>
                <w:color w:val="000000" w:themeColor="text1"/>
                <w:kern w:val="0"/>
                <w:sz w:val="24"/>
                <w:szCs w:val="24"/>
                <w14:textFill>
                  <w14:solidFill>
                    <w14:schemeClr w14:val="tx1"/>
                  </w14:solidFill>
                </w14:textFill>
              </w:rPr>
              <w:t>创新型电子商务企业</w:t>
            </w:r>
            <w:r>
              <w:rPr>
                <w:rFonts w:hint="eastAsia" w:ascii="黑体" w:hAnsi="黑体" w:eastAsia="黑体" w:cs="宋体"/>
                <w:b/>
                <w:bCs/>
                <w:color w:val="000000" w:themeColor="text1"/>
                <w:kern w:val="0"/>
                <w:sz w:val="24"/>
                <w:szCs w:val="24"/>
                <w:lang w:eastAsia="zh-CN"/>
                <w14:textFill>
                  <w14:solidFill>
                    <w14:schemeClr w14:val="tx1"/>
                  </w14:solidFill>
                </w14:textFill>
              </w:rPr>
              <w:t>（</w:t>
            </w:r>
            <w:r>
              <w:rPr>
                <w:rFonts w:hint="eastAsia" w:ascii="黑体" w:hAnsi="黑体" w:eastAsia="黑体" w:cs="宋体"/>
                <w:b/>
                <w:bCs/>
                <w:color w:val="000000" w:themeColor="text1"/>
                <w:kern w:val="0"/>
                <w:sz w:val="24"/>
                <w:szCs w:val="24"/>
                <w:lang w:val="en-US" w:eastAsia="zh-CN"/>
                <w14:textFill>
                  <w14:solidFill>
                    <w14:schemeClr w14:val="tx1"/>
                  </w14:solidFill>
                </w14:textFill>
              </w:rPr>
              <w:t>50分</w:t>
            </w:r>
            <w:r>
              <w:rPr>
                <w:rFonts w:hint="eastAsia" w:ascii="黑体" w:hAnsi="黑体" w:eastAsia="黑体" w:cs="宋体"/>
                <w:b/>
                <w:bCs/>
                <w:color w:val="000000" w:themeColor="text1"/>
                <w:kern w:val="0"/>
                <w:sz w:val="24"/>
                <w:szCs w:val="24"/>
                <w:lang w:eastAsia="zh-CN"/>
                <w14:textFill>
                  <w14:solidFill>
                    <w14:schemeClr w14:val="tx1"/>
                  </w14:solidFill>
                </w14:textFill>
              </w:rPr>
              <w:t>）</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tcBorders>
              <w:tl2br w:val="nil"/>
              <w:tr2bl w:val="nil"/>
            </w:tcBorders>
            <w:shd w:val="clear" w:color="auto" w:fill="auto"/>
            <w:vAlign w:val="center"/>
          </w:tcPr>
          <w:p>
            <w:pPr>
              <w:widowControl/>
              <w:spacing w:before="156" w:after="156" w:line="280" w:lineRule="exact"/>
              <w:ind w:firstLine="0" w:firstLineChars="0"/>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一级指标</w:t>
            </w:r>
          </w:p>
        </w:tc>
        <w:tc>
          <w:tcPr>
            <w:tcW w:w="2005" w:type="dxa"/>
            <w:tcBorders>
              <w:tl2br w:val="nil"/>
              <w:tr2bl w:val="nil"/>
            </w:tcBorders>
            <w:shd w:val="clear" w:color="auto" w:fill="auto"/>
            <w:vAlign w:val="center"/>
          </w:tcPr>
          <w:p>
            <w:pPr>
              <w:widowControl/>
              <w:spacing w:before="156" w:after="156" w:line="280" w:lineRule="exact"/>
              <w:ind w:firstLine="402"/>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二级指标</w:t>
            </w:r>
          </w:p>
        </w:tc>
        <w:tc>
          <w:tcPr>
            <w:tcW w:w="2689" w:type="dxa"/>
            <w:tcBorders>
              <w:tl2br w:val="nil"/>
              <w:tr2bl w:val="nil"/>
            </w:tcBorders>
            <w:shd w:val="clear" w:color="auto" w:fill="auto"/>
            <w:vAlign w:val="center"/>
          </w:tcPr>
          <w:p>
            <w:pPr>
              <w:widowControl/>
              <w:spacing w:before="156" w:after="156" w:line="280" w:lineRule="exact"/>
              <w:ind w:firstLine="402"/>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三级指标</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单位</w:t>
            </w:r>
          </w:p>
        </w:tc>
        <w:tc>
          <w:tcPr>
            <w:tcW w:w="3050" w:type="dxa"/>
            <w:tcBorders>
              <w:tl2br w:val="nil"/>
              <w:tr2bl w:val="nil"/>
            </w:tcBorders>
            <w:shd w:val="clear" w:color="auto" w:fill="auto"/>
            <w:vAlign w:val="top"/>
          </w:tcPr>
          <w:p>
            <w:pPr>
              <w:widowControl/>
              <w:spacing w:before="156" w:after="156" w:line="280" w:lineRule="exact"/>
              <w:ind w:firstLine="402"/>
              <w:jc w:val="both"/>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指标解释与填报注意事项</w:t>
            </w:r>
          </w:p>
        </w:tc>
        <w:tc>
          <w:tcPr>
            <w:tcW w:w="2576" w:type="dxa"/>
            <w:tcBorders>
              <w:tl2br w:val="nil"/>
              <w:tr2bl w:val="nil"/>
            </w:tcBorders>
            <w:shd w:val="clear" w:color="auto" w:fill="auto"/>
            <w:vAlign w:val="center"/>
          </w:tcPr>
          <w:p>
            <w:pPr>
              <w:widowControl/>
              <w:spacing w:before="156" w:after="156" w:line="280" w:lineRule="exact"/>
              <w:ind w:firstLine="402"/>
              <w:jc w:val="center"/>
              <w:rPr>
                <w:rFonts w:asciiTheme="majorEastAsia" w:hAnsiTheme="majorEastAsia" w:eastAsiaTheme="majorEastAsia" w:cstheme="majorEastAsia"/>
                <w:b/>
                <w:bCs/>
                <w:color w:val="000000" w:themeColor="text1"/>
                <w:kern w:val="0"/>
                <w:sz w:val="20"/>
                <w:szCs w:val="20"/>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14:textFill>
                  <w14:solidFill>
                    <w14:schemeClr w14:val="tx1"/>
                  </w14:solidFill>
                </w14:textFill>
              </w:rPr>
              <w:t>需提交证明材料</w:t>
            </w:r>
          </w:p>
        </w:tc>
        <w:tc>
          <w:tcPr>
            <w:tcW w:w="1776" w:type="dxa"/>
            <w:tcBorders>
              <w:tl2br w:val="nil"/>
              <w:tr2bl w:val="nil"/>
            </w:tcBorders>
            <w:shd w:val="clear" w:color="auto" w:fill="auto"/>
            <w:vAlign w:val="center"/>
          </w:tcPr>
          <w:p>
            <w:pPr>
              <w:widowControl/>
              <w:spacing w:before="156" w:after="156" w:line="280" w:lineRule="exact"/>
              <w:ind w:firstLine="402"/>
              <w:jc w:val="center"/>
              <w:rPr>
                <w:rFonts w:hint="eastAsia" w:asciiTheme="majorEastAsia" w:hAnsiTheme="majorEastAsia" w:eastAsiaTheme="majorEastAsia" w:cstheme="majorEastAsia"/>
                <w:b/>
                <w:bCs/>
                <w:color w:val="000000" w:themeColor="text1"/>
                <w:kern w:val="0"/>
                <w:sz w:val="20"/>
                <w:szCs w:val="20"/>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20"/>
                <w:szCs w:val="20"/>
                <w:lang w:val="en-US" w:eastAsia="zh-CN"/>
                <w14:textFill>
                  <w14:solidFill>
                    <w14:schemeClr w14:val="tx1"/>
                  </w14:solidFill>
                </w14:textFill>
              </w:rPr>
              <w:t>得分</w:t>
            </w: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hint="eastAsia" w:eastAsia="宋体" w:cs="宋体"/>
                <w:color w:val="000000" w:themeColor="text1"/>
                <w:kern w:val="0"/>
                <w:sz w:val="21"/>
                <w:szCs w:val="21"/>
                <w:lang w:eastAsia="zh-CN"/>
                <w14:textFill>
                  <w14:solidFill>
                    <w14:schemeClr w14:val="tx1"/>
                  </w14:solidFill>
                </w14:textFill>
              </w:rPr>
            </w:pPr>
            <w:r>
              <w:rPr>
                <w:rFonts w:hint="eastAsia" w:cs="宋体"/>
                <w:color w:val="000000" w:themeColor="text1"/>
                <w:kern w:val="0"/>
                <w:sz w:val="21"/>
                <w:szCs w:val="21"/>
                <w14:textFill>
                  <w14:solidFill>
                    <w14:schemeClr w14:val="tx1"/>
                  </w14:solidFill>
                </w14:textFill>
              </w:rPr>
              <w:t>经营能力</w:t>
            </w:r>
          </w:p>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5</w:t>
            </w:r>
            <w:r>
              <w:rPr>
                <w:rFonts w:cs="宋体"/>
                <w:color w:val="000000" w:themeColor="text1"/>
                <w:kern w:val="0"/>
                <w:sz w:val="21"/>
                <w:szCs w:val="21"/>
                <w14:textFill>
                  <w14:solidFill>
                    <w14:schemeClr w14:val="tx1"/>
                  </w14:solidFill>
                </w14:textFill>
              </w:rPr>
              <w:t>0</w:t>
            </w:r>
            <w:r>
              <w:rPr>
                <w:rFonts w:hint="eastAsia" w:cs="宋体"/>
                <w:color w:val="000000" w:themeColor="text1"/>
                <w:kern w:val="0"/>
                <w:sz w:val="21"/>
                <w:szCs w:val="21"/>
                <w14:textFill>
                  <w14:solidFill>
                    <w14:schemeClr w14:val="tx1"/>
                  </w14:solidFill>
                </w14:textFill>
              </w:rPr>
              <w:t>分）</w:t>
            </w:r>
          </w:p>
        </w:tc>
        <w:tc>
          <w:tcPr>
            <w:tcW w:w="2005" w:type="dxa"/>
            <w:vMerge w:val="restart"/>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业务规模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主营业务交易额</w:t>
            </w:r>
            <w:r>
              <w:rPr>
                <w:rFonts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10</w:t>
            </w:r>
            <w:r>
              <w:rPr>
                <w:rFonts w:cs="宋体"/>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万元</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1.报告年度内，企业实现的主营业务交易额；</w:t>
            </w:r>
          </w:p>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2.单位：万元。不要自行改变单位；</w:t>
            </w:r>
          </w:p>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3.此数字应与申报书一致。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主营业务交易额增长率</w:t>
            </w:r>
            <w:r>
              <w:rPr>
                <w:rFonts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5</w:t>
            </w:r>
            <w:r>
              <w:rPr>
                <w:rFonts w:cs="宋体"/>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计算公式为：(报告年度末电子商务交易额/上一年度末电子商务交易额-1)×100%。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用户规模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用户注册数量</w:t>
            </w:r>
            <w:r>
              <w:rPr>
                <w:rFonts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10</w:t>
            </w:r>
            <w:r>
              <w:rPr>
                <w:rFonts w:cs="宋体"/>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个</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1.报告年度内，平台上的用户注册数量；</w:t>
            </w:r>
          </w:p>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2.此数字应与申报书一致。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用户注册数量增长率</w:t>
            </w:r>
            <w:r>
              <w:rPr>
                <w:rFonts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5</w:t>
            </w:r>
            <w:r>
              <w:rPr>
                <w:rFonts w:cs="宋体"/>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计算公式为：(报告年度末用户注册数量/上一年度末用户注册数量-1)×100%。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restart"/>
            <w:tcBorders>
              <w:tl2br w:val="nil"/>
              <w:tr2bl w:val="nil"/>
            </w:tcBorders>
            <w:shd w:val="clear" w:color="auto" w:fill="auto"/>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其他规模</w:t>
            </w: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平台访问量（PV、UV）</w:t>
            </w:r>
            <w:r>
              <w:rPr>
                <w:rFonts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5</w:t>
            </w:r>
            <w:r>
              <w:rPr>
                <w:rFonts w:cs="宋体"/>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次</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1.报告年度内，页面浏览量或点击量、独立访问量；</w:t>
            </w:r>
          </w:p>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2.此数字应与申报书一致。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平台访问量增长率</w:t>
            </w:r>
            <w:r>
              <w:rPr>
                <w:rFonts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5</w:t>
            </w:r>
            <w:r>
              <w:rPr>
                <w:rFonts w:cs="宋体"/>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计算公式为：(报告年度末平台访问量数量/上一年度末平台访问量数量-1)×100%。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APP下载量</w:t>
            </w:r>
            <w:r>
              <w:rPr>
                <w:rFonts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5</w:t>
            </w:r>
            <w:r>
              <w:rPr>
                <w:rFonts w:cs="宋体"/>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次</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1.报告年度内，企业主要运营的移动端App的下载量。</w:t>
            </w:r>
          </w:p>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2.此数字应与申报书一致。</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p>
        </w:tc>
      </w:tr>
      <w:tr>
        <w:tblPrEx>
          <w:tblBorders>
            <w:top w:val="single" w:color="auto" w:sz="4" w:space="0"/>
            <w:left w:val="single" w:color="auto" w:sz="8"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14"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005" w:type="dxa"/>
            <w:vMerge w:val="continue"/>
            <w:tcBorders>
              <w:tl2br w:val="nil"/>
              <w:tr2bl w:val="nil"/>
            </w:tcBorders>
            <w:vAlign w:val="center"/>
          </w:tcPr>
          <w:p>
            <w:pPr>
              <w:widowControl/>
              <w:spacing w:before="156" w:after="156" w:line="280" w:lineRule="exact"/>
              <w:ind w:firstLine="400"/>
              <w:jc w:val="center"/>
              <w:rPr>
                <w:rFonts w:cs="宋体"/>
                <w:color w:val="000000" w:themeColor="text1"/>
                <w:kern w:val="0"/>
                <w:sz w:val="21"/>
                <w:szCs w:val="21"/>
                <w14:textFill>
                  <w14:solidFill>
                    <w14:schemeClr w14:val="tx1"/>
                  </w14:solidFill>
                </w14:textFill>
              </w:rPr>
            </w:pPr>
          </w:p>
        </w:tc>
        <w:tc>
          <w:tcPr>
            <w:tcW w:w="2689"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APP量增长率</w:t>
            </w:r>
            <w:r>
              <w:rPr>
                <w:rFonts w:cs="宋体"/>
                <w:color w:val="000000" w:themeColor="text1"/>
                <w:kern w:val="0"/>
                <w:sz w:val="21"/>
                <w:szCs w:val="21"/>
                <w14:textFill>
                  <w14:solidFill>
                    <w14:schemeClr w14:val="tx1"/>
                  </w14:solidFill>
                </w14:textFill>
              </w:rPr>
              <w:t>（</w:t>
            </w:r>
            <w:r>
              <w:rPr>
                <w:rFonts w:hint="eastAsia" w:cs="宋体"/>
                <w:color w:val="000000" w:themeColor="text1"/>
                <w:kern w:val="0"/>
                <w:sz w:val="21"/>
                <w:szCs w:val="21"/>
                <w:lang w:val="en-US" w:eastAsia="zh-CN"/>
                <w14:textFill>
                  <w14:solidFill>
                    <w14:schemeClr w14:val="tx1"/>
                  </w14:solidFill>
                </w14:textFill>
              </w:rPr>
              <w:t>5</w:t>
            </w:r>
            <w:r>
              <w:rPr>
                <w:rFonts w:cs="宋体"/>
                <w:color w:val="000000" w:themeColor="text1"/>
                <w:kern w:val="0"/>
                <w:sz w:val="21"/>
                <w:szCs w:val="21"/>
                <w14:textFill>
                  <w14:solidFill>
                    <w14:schemeClr w14:val="tx1"/>
                  </w14:solidFill>
                </w14:textFill>
              </w:rPr>
              <w:t>分）</w:t>
            </w:r>
          </w:p>
        </w:tc>
        <w:tc>
          <w:tcPr>
            <w:tcW w:w="664"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w:t>
            </w:r>
          </w:p>
        </w:tc>
        <w:tc>
          <w:tcPr>
            <w:tcW w:w="3050" w:type="dxa"/>
            <w:tcBorders>
              <w:tl2br w:val="nil"/>
              <w:tr2bl w:val="nil"/>
            </w:tcBorders>
            <w:shd w:val="clear" w:color="auto" w:fill="auto"/>
            <w:vAlign w:val="top"/>
          </w:tcPr>
          <w:p>
            <w:pPr>
              <w:widowControl/>
              <w:spacing w:before="156" w:after="156" w:line="280" w:lineRule="exact"/>
              <w:ind w:firstLine="0" w:firstLineChars="0"/>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计算公式为：(报告年度末APP下载量/上一年度末APP下载量-1)×100%。</w:t>
            </w:r>
          </w:p>
        </w:tc>
        <w:tc>
          <w:tcPr>
            <w:tcW w:w="25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企业自行填报，能体现该项内容的相关证明材料。</w:t>
            </w:r>
          </w:p>
        </w:tc>
        <w:tc>
          <w:tcPr>
            <w:tcW w:w="1776" w:type="dxa"/>
            <w:tcBorders>
              <w:tl2br w:val="nil"/>
              <w:tr2bl w:val="nil"/>
            </w:tcBorders>
            <w:shd w:val="clear" w:color="auto" w:fill="auto"/>
            <w:vAlign w:val="center"/>
          </w:tcPr>
          <w:p>
            <w:pPr>
              <w:widowControl/>
              <w:spacing w:before="156" w:after="156" w:line="280" w:lineRule="exact"/>
              <w:ind w:firstLine="0" w:firstLineChars="0"/>
              <w:jc w:val="center"/>
              <w:rPr>
                <w:rFonts w:cs="宋体"/>
                <w:color w:val="000000" w:themeColor="text1"/>
                <w:kern w:val="0"/>
                <w:sz w:val="21"/>
                <w:szCs w:val="21"/>
                <w14:textFill>
                  <w14:solidFill>
                    <w14:schemeClr w14:val="tx1"/>
                  </w14:solidFill>
                </w14:textFill>
              </w:rPr>
            </w:pPr>
          </w:p>
        </w:tc>
      </w:tr>
    </w:tbl>
    <w:p>
      <w:pPr>
        <w:spacing w:before="156" w:after="156"/>
        <w:rPr>
          <w:color w:val="000000" w:themeColor="text1"/>
          <w14:textFill>
            <w14:solidFill>
              <w14:schemeClr w14:val="tx1"/>
            </w14:solidFill>
          </w14:textFill>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ind w:firstLine="560"/>
      </w:pPr>
      <w:r>
        <w:separator/>
      </w:r>
    </w:p>
  </w:footnote>
  <w:footnote w:type="continuationSeparator" w:id="1">
    <w:p>
      <w:pPr>
        <w:spacing w:before="0" w:after="0"/>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jNWU0YzBkZTVjOTQ3Y2E0Y2ZkMjhiYTM4NTQ3YjMifQ=="/>
  </w:docVars>
  <w:rsids>
    <w:rsidRoot w:val="71EE706B"/>
    <w:rsid w:val="001323DE"/>
    <w:rsid w:val="00177038"/>
    <w:rsid w:val="001E6E39"/>
    <w:rsid w:val="002B6066"/>
    <w:rsid w:val="00315782"/>
    <w:rsid w:val="00384EEA"/>
    <w:rsid w:val="00423038"/>
    <w:rsid w:val="00476096"/>
    <w:rsid w:val="004A2D0C"/>
    <w:rsid w:val="004F235F"/>
    <w:rsid w:val="0054474C"/>
    <w:rsid w:val="006A4D10"/>
    <w:rsid w:val="006A51B8"/>
    <w:rsid w:val="007816E7"/>
    <w:rsid w:val="007E2643"/>
    <w:rsid w:val="008907CF"/>
    <w:rsid w:val="009225A7"/>
    <w:rsid w:val="00A65FA9"/>
    <w:rsid w:val="00B6019D"/>
    <w:rsid w:val="00CA06E3"/>
    <w:rsid w:val="00D54D75"/>
    <w:rsid w:val="00D75BE2"/>
    <w:rsid w:val="00DF6DC0"/>
    <w:rsid w:val="00E472F0"/>
    <w:rsid w:val="00E730D3"/>
    <w:rsid w:val="00F41D57"/>
    <w:rsid w:val="00F448D2"/>
    <w:rsid w:val="00FB2481"/>
    <w:rsid w:val="01F524BC"/>
    <w:rsid w:val="029167E5"/>
    <w:rsid w:val="03393105"/>
    <w:rsid w:val="03A74512"/>
    <w:rsid w:val="05C56ED2"/>
    <w:rsid w:val="05EA6938"/>
    <w:rsid w:val="0B0A5387"/>
    <w:rsid w:val="0D046532"/>
    <w:rsid w:val="0EFB5712"/>
    <w:rsid w:val="0FF52AA9"/>
    <w:rsid w:val="118817AF"/>
    <w:rsid w:val="12D90460"/>
    <w:rsid w:val="13390EFF"/>
    <w:rsid w:val="14EF46DF"/>
    <w:rsid w:val="16CB00C0"/>
    <w:rsid w:val="215F7D83"/>
    <w:rsid w:val="235C6C70"/>
    <w:rsid w:val="27677991"/>
    <w:rsid w:val="29EA6657"/>
    <w:rsid w:val="2B3202B6"/>
    <w:rsid w:val="2CF0667B"/>
    <w:rsid w:val="2E505623"/>
    <w:rsid w:val="314D7BF8"/>
    <w:rsid w:val="3291620A"/>
    <w:rsid w:val="32F363EF"/>
    <w:rsid w:val="3330157F"/>
    <w:rsid w:val="34C06933"/>
    <w:rsid w:val="352136EE"/>
    <w:rsid w:val="36080591"/>
    <w:rsid w:val="37C404E8"/>
    <w:rsid w:val="44652BAE"/>
    <w:rsid w:val="46003033"/>
    <w:rsid w:val="47841A42"/>
    <w:rsid w:val="50E772C9"/>
    <w:rsid w:val="52720E14"/>
    <w:rsid w:val="52E97440"/>
    <w:rsid w:val="547A0454"/>
    <w:rsid w:val="59B37EA3"/>
    <w:rsid w:val="5E2751A9"/>
    <w:rsid w:val="69A00191"/>
    <w:rsid w:val="6AB53970"/>
    <w:rsid w:val="6FBF0D99"/>
    <w:rsid w:val="71EE706B"/>
    <w:rsid w:val="725105EF"/>
    <w:rsid w:val="75D21A46"/>
    <w:rsid w:val="7A015642"/>
    <w:rsid w:val="7B890DF9"/>
    <w:rsid w:val="7C0466D2"/>
    <w:rsid w:val="7C370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Lines="50" w:afterLines="50"/>
      <w:ind w:firstLine="560" w:firstLineChars="200"/>
      <w:jc w:val="both"/>
    </w:pPr>
    <w:rPr>
      <w:rFonts w:ascii="宋体" w:hAnsi="宋体" w:eastAsia="宋体" w:cs="Times New Roman"/>
      <w:kern w:val="2"/>
      <w:sz w:val="28"/>
      <w:szCs w:val="28"/>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99"/>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Revision"/>
    <w:hidden/>
    <w:semiHidden/>
    <w:qFormat/>
    <w:uiPriority w:val="99"/>
    <w:rPr>
      <w:rFonts w:ascii="宋体" w:hAnsi="宋体" w:eastAsia="宋体" w:cs="Times New Roman"/>
      <w:kern w:val="2"/>
      <w:sz w:val="28"/>
      <w:szCs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9767</Words>
  <Characters>9996</Characters>
  <Lines>79</Lines>
  <Paragraphs>22</Paragraphs>
  <TotalTime>30</TotalTime>
  <ScaleCrop>false</ScaleCrop>
  <LinksUpToDate>false</LinksUpToDate>
  <CharactersWithSpaces>9998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2023-03-19T05:29:00Z</dcterms:created>
  <dc:creator>杨艺杰</dc:creator>
  <cp:lastModifiedBy>NO.</cp:lastModifiedBy>
  <dcterms:modified xsi:type="dcterms:W3CDTF">2023-03-29T05:14:28Z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A8F6AF34AB1E46D7A5EFB954F7959824</vt:lpwstr>
  </property>
</Properties>
</file>