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4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附件8：</w:t>
      </w:r>
    </w:p>
    <w:p>
      <w:pPr>
        <w:spacing w:after="0" w:line="440" w:lineRule="exact"/>
        <w:jc w:val="center"/>
        <w:rPr>
          <w:rFonts w:hint="eastAsia"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广西电子商务示范基地（产业集聚类）评价指标体系</w:t>
      </w:r>
    </w:p>
    <w:p>
      <w:pPr>
        <w:spacing w:after="0" w:line="440" w:lineRule="exact"/>
        <w:jc w:val="center"/>
        <w:rPr>
          <w:rFonts w:hint="eastAsia" w:asciiTheme="majorEastAsia" w:hAnsiTheme="majorEastAsia" w:eastAsiaTheme="majorEastAsia"/>
          <w:b/>
          <w:sz w:val="36"/>
          <w:szCs w:val="36"/>
        </w:rPr>
      </w:pPr>
    </w:p>
    <w:tbl>
      <w:tblPr>
        <w:tblStyle w:val="4"/>
        <w:tblW w:w="143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342"/>
        <w:gridCol w:w="2287"/>
        <w:gridCol w:w="826"/>
        <w:gridCol w:w="5044"/>
        <w:gridCol w:w="2830"/>
        <w:gridCol w:w="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tblHeader/>
          <w:jc w:val="center"/>
        </w:trPr>
        <w:tc>
          <w:tcPr>
            <w:tcW w:w="1134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一级</w:t>
            </w:r>
          </w:p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指标</w:t>
            </w:r>
          </w:p>
        </w:tc>
        <w:tc>
          <w:tcPr>
            <w:tcW w:w="1342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二级</w:t>
            </w:r>
          </w:p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指标</w:t>
            </w: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三级指标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单位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指标解释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证明材料</w:t>
            </w:r>
          </w:p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（包括但不限于以下内容）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得分</w:t>
            </w:r>
          </w:p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="Times New Roman" w:hAnsi="Times New Roman" w:eastAsia="宋体" w:cs="Times New Roman"/>
                <w:spacing w:val="-1"/>
                <w:sz w:val="18"/>
                <w:szCs w:val="18"/>
              </w:rPr>
              <w:t>满分（100）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承载</w:t>
            </w:r>
          </w:p>
          <w:p>
            <w:pPr>
              <w:spacing w:after="0" w:line="260" w:lineRule="exact"/>
              <w:contextualSpacing/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能力</w:t>
            </w:r>
          </w:p>
          <w:p>
            <w:pPr>
              <w:spacing w:after="0" w:line="260" w:lineRule="exact"/>
              <w:contextualSpacing/>
              <w:jc w:val="center"/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（</w:t>
            </w:r>
            <w:r>
              <w:rPr>
                <w:rFonts w:hint="eastAsia" w:ascii="黑体" w:hAnsi="黑体" w:eastAsia="黑体"/>
                <w:b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分）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基础</w:t>
            </w:r>
          </w:p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硬件</w:t>
            </w: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  <w:lang w:eastAsia="zh-CN"/>
              </w:rPr>
              <w:t>经营</w:t>
            </w:r>
            <w:r>
              <w:rPr>
                <w:rFonts w:hint="eastAsia" w:asciiTheme="minorEastAsia" w:hAnsiTheme="minorEastAsia"/>
                <w:b/>
              </w:rPr>
              <w:t>面积（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3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平方米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1.已投入使用的、用于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电商产业基地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企业办公的总建筑面积，不包括用于仓储、配套等用途的建筑面积。</w:t>
            </w:r>
          </w:p>
          <w:p>
            <w:pPr>
              <w:spacing w:after="0" w:line="260" w:lineRule="exact"/>
              <w:contextualSpacing/>
              <w:rPr>
                <w:rFonts w:hint="eastAsia"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2.在建和已建成未使用的面积不计入在内。</w:t>
            </w:r>
          </w:p>
          <w:p>
            <w:pPr>
              <w:spacing w:after="0" w:line="260" w:lineRule="exact"/>
              <w:contextualSpacing/>
              <w:rPr>
                <w:rFonts w:hint="default" w:ascii="仿宋_GB2312" w:eastAsia="仿宋_GB2312" w:hAnsi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  <w:lang w:val="en-US" w:eastAsia="zh-CN"/>
              </w:rPr>
              <w:t>3.1000平米以内不得分，2000平米以上得满分。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提供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电商产业基地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建筑面积明细表，以楼宇或企业为单位进行统计。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hint="eastAsia"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配套服务</w:t>
            </w:r>
          </w:p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面积（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平方米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已投入使用的、用于为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电商产业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企业提供商业及生活配套的建筑面积，包括仓储面积，也包括为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基地电商产业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企业提供食宿、休闲娱乐等服务用途的建筑面积。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提供配套服务面积明细表，以楼宇或配套功能区为单位进行统计。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restart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入驻</w:t>
            </w:r>
          </w:p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企业</w:t>
            </w: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hint="eastAsia" w:asciiTheme="minorEastAsia" w:hAnsiTheme="minorEastAsia" w:eastAsiaTheme="minorEastAsia"/>
                <w:b/>
                <w:lang w:eastAsia="zh-CN"/>
              </w:rPr>
            </w:pPr>
            <w:r>
              <w:rPr>
                <w:rFonts w:hint="eastAsia" w:asciiTheme="minorEastAsia" w:hAnsiTheme="minorEastAsia"/>
                <w:b/>
                <w:lang w:eastAsia="zh-CN"/>
              </w:rPr>
              <w:t>特色产业电商企业入驻数量（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5分</w:t>
            </w:r>
            <w:r>
              <w:rPr>
                <w:rFonts w:hint="eastAsia" w:asciiTheme="minorEastAsia" w:hAnsiTheme="minorEastAsia"/>
                <w:b/>
                <w:lang w:eastAsia="zh-CN"/>
              </w:rPr>
              <w:t>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hint="eastAsia" w:asciiTheme="minorEastAsia" w:hAnsiTheme="minorEastAsia" w:eastAsiaTheme="minorEastAsia"/>
                <w:b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报告期末入驻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基地且围绕区域特色产业进行电商化的电商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企业（含在孵）数量，主要包括产业</w:t>
            </w:r>
            <w:r>
              <w:rPr>
                <w:rFonts w:hint="eastAsia" w:ascii="仿宋_GB2312" w:eastAsia="仿宋_GB2312" w:hAnsiTheme="majorEastAsia" w:cstheme="majorEastAsia"/>
                <w:sz w:val="21"/>
                <w:szCs w:val="21"/>
              </w:rPr>
              <w:t>上下游产业链相关企业。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hint="eastAsia"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提供企业名单，列明以下内容：企业名称、企业法人、联系方式、主营业务、营业地址。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  <w:lang w:eastAsia="zh-CN"/>
              </w:rPr>
              <w:t>集聚区</w:t>
            </w:r>
            <w:r>
              <w:rPr>
                <w:rFonts w:hint="eastAsia" w:asciiTheme="minorEastAsia" w:hAnsiTheme="minorEastAsia"/>
                <w:b/>
              </w:rPr>
              <w:t>企业数量（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个</w:t>
            </w:r>
          </w:p>
        </w:tc>
        <w:tc>
          <w:tcPr>
            <w:tcW w:w="5044" w:type="dxa"/>
            <w:vAlign w:val="center"/>
          </w:tcPr>
          <w:p>
            <w:pPr>
              <w:tabs>
                <w:tab w:val="left" w:pos="312"/>
              </w:tabs>
              <w:spacing w:after="0" w:line="260" w:lineRule="exact"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报告期末入驻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全部企业（含在孵）数量，主要包括产业</w:t>
            </w:r>
            <w:r>
              <w:rPr>
                <w:rFonts w:hint="eastAsia" w:ascii="仿宋_GB2312" w:eastAsia="仿宋_GB2312" w:hAnsiTheme="majorEastAsia" w:cstheme="majorEastAsia"/>
                <w:sz w:val="21"/>
                <w:szCs w:val="21"/>
              </w:rPr>
              <w:t>上下游产业链相关企业。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提供企业名单，列明以下内容：企业名称、企业法人、联系方式、主营业务、营业地址。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  <w:lang w:eastAsia="zh-CN"/>
              </w:rPr>
              <w:t>特色产业电商</w:t>
            </w:r>
            <w:r>
              <w:rPr>
                <w:rFonts w:hint="eastAsia" w:asciiTheme="minorEastAsia" w:hAnsiTheme="minorEastAsia"/>
                <w:b/>
              </w:rPr>
              <w:t>企业入驻率（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/>
                <w:b/>
                <w:sz w:val="18"/>
                <w:szCs w:val="18"/>
              </w:rPr>
              <w:t>%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基地特色产业电商企业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数量与全部入驻企业数量之间的比值。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提供全部入驻企业数量及证明材料。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华文细黑" w:hAnsi="华文细黑" w:eastAsia="华文细黑"/>
                <w:b/>
                <w:sz w:val="24"/>
                <w:szCs w:val="24"/>
              </w:rPr>
            </w:pPr>
          </w:p>
          <w:p>
            <w:pPr>
              <w:spacing w:after="0" w:line="260" w:lineRule="exact"/>
              <w:contextualSpacing/>
              <w:jc w:val="center"/>
            </w:pPr>
            <w:r>
              <w:rPr>
                <w:rFonts w:hint="eastAsia" w:ascii="华文细黑" w:hAnsi="华文细黑" w:eastAsia="华文细黑"/>
                <w:b/>
                <w:sz w:val="24"/>
                <w:szCs w:val="24"/>
              </w:rPr>
              <w:t>示范能力（</w:t>
            </w:r>
            <w:r>
              <w:rPr>
                <w:rFonts w:hint="eastAsia" w:ascii="华文细黑" w:hAnsi="华文细黑" w:eastAsia="华文细黑"/>
                <w:b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华文细黑" w:hAnsi="华文细黑" w:eastAsia="华文细黑"/>
                <w:b/>
                <w:sz w:val="24"/>
                <w:szCs w:val="24"/>
              </w:rPr>
              <w:t>分）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特色产业集聚度</w:t>
            </w: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  <w:lang w:eastAsia="zh-CN"/>
              </w:rPr>
              <w:t>特色产业电商</w:t>
            </w:r>
            <w:r>
              <w:rPr>
                <w:rFonts w:hint="eastAsia" w:asciiTheme="minorEastAsia" w:hAnsiTheme="minorEastAsia"/>
                <w:b/>
              </w:rPr>
              <w:t>交易额</w:t>
            </w:r>
          </w:p>
          <w:p>
            <w:pPr>
              <w:spacing w:after="0" w:line="260" w:lineRule="exact"/>
              <w:contextualSpacing/>
              <w:jc w:val="center"/>
              <w:rPr>
                <w:rFonts w:hint="eastAsia" w:asciiTheme="minorEastAsia" w:hAnsiTheme="minorEastAsia"/>
                <w:b/>
                <w:lang w:eastAsia="zh-CN"/>
              </w:rPr>
            </w:pPr>
            <w:r>
              <w:rPr>
                <w:rFonts w:hint="eastAsia" w:asciiTheme="minorEastAsia" w:hAnsiTheme="minorEastAsia"/>
                <w:b/>
              </w:rPr>
              <w:t>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元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</w:rPr>
              <w:t>内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  <w:lang w:eastAsia="zh-CN"/>
              </w:rPr>
              <w:t>特色产业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  <w:lang w:val="en-US" w:eastAsia="zh-CN"/>
              </w:rPr>
              <w:t>电商交易额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</w:rPr>
              <w:t>：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  <w:lang w:val="en-US" w:eastAsia="zh-CN"/>
              </w:rPr>
              <w:t>2000万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</w:rPr>
              <w:t>以下得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</w:rPr>
              <w:t>分，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  <w:lang w:val="en-US" w:eastAsia="zh-CN"/>
              </w:rPr>
              <w:t>5000万-1亿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</w:rPr>
              <w:t>得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</w:rPr>
              <w:t>分，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  <w:lang w:val="en-US" w:eastAsia="zh-CN"/>
              </w:rPr>
              <w:t>1亿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</w:rPr>
              <w:t>以上得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</w:rPr>
              <w:t>分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hint="eastAsia"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特色产业电商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交易额构成明细，按企业统计。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hint="eastAsia" w:ascii="华文细黑" w:hAnsi="华文细黑" w:eastAsia="华文细黑"/>
                <w:b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hint="eastAsia" w:asciiTheme="minorEastAsia" w:hAnsiTheme="minorEastAsia" w:eastAsiaTheme="minorEastAsia"/>
                <w:b/>
                <w:lang w:eastAsia="zh-CN"/>
              </w:rPr>
            </w:pPr>
            <w:r>
              <w:rPr>
                <w:rFonts w:hint="eastAsia" w:asciiTheme="minorEastAsia" w:hAnsiTheme="minorEastAsia"/>
                <w:b/>
                <w:lang w:eastAsia="zh-CN"/>
              </w:rPr>
              <w:t>特色产业占县域同类产业市场份额（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8分</w:t>
            </w:r>
            <w:r>
              <w:rPr>
                <w:rFonts w:hint="eastAsia" w:asciiTheme="minorEastAsia" w:hAnsiTheme="minorEastAsia"/>
                <w:b/>
                <w:lang w:eastAsia="zh-CN"/>
              </w:rPr>
              <w:t>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hint="eastAsia" w:asciiTheme="minorEastAsia" w:hAnsiTheme="minorEastAsia" w:eastAsiaTheme="minorEastAsia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hint="default" w:ascii="仿宋_GB2312" w:eastAsia="仿宋_GB2312" w:hAnsiTheme="minorEastAsia" w:cstheme="minorBidi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  <w:lang w:eastAsia="zh-CN"/>
              </w:rPr>
              <w:t>集聚区内特色产业规模占县域同类产业规模份额：</w:t>
            </w:r>
            <w:r>
              <w:rPr>
                <w:rFonts w:hint="eastAsia" w:ascii="仿宋_GB2312" w:eastAsia="仿宋_GB2312" w:hAnsiTheme="minorEastAsia" w:cstheme="minorBidi"/>
                <w:spacing w:val="0"/>
                <w:sz w:val="21"/>
                <w:szCs w:val="21"/>
                <w:lang w:val="en-US" w:eastAsia="zh-CN"/>
              </w:rPr>
              <w:t>30%以下得3分，30%-60%得6分，60%以上得8分。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相关证明材料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restart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发展速度与规模</w:t>
            </w: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 w:cstheme="minorBidi"/>
                <w:b/>
                <w:spacing w:val="0"/>
                <w:sz w:val="22"/>
                <w:szCs w:val="22"/>
                <w:lang w:eastAsia="zh-CN"/>
              </w:rPr>
              <w:t>集聚区电商交易额</w:t>
            </w:r>
            <w:r>
              <w:rPr>
                <w:rFonts w:hint="eastAsia" w:asciiTheme="minorEastAsia" w:hAnsiTheme="minorEastAsia"/>
                <w:b/>
              </w:rPr>
              <w:t>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报告期内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全体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电商产业电子商务交易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总额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包括产业</w:t>
            </w:r>
            <w:r>
              <w:rPr>
                <w:rFonts w:hint="eastAsia" w:ascii="仿宋_GB2312" w:eastAsia="仿宋_GB2312" w:hAnsiTheme="majorEastAsia" w:cstheme="majorEastAsia"/>
                <w:sz w:val="21"/>
                <w:szCs w:val="21"/>
              </w:rPr>
              <w:t>上下游产业链相关企业。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电商产业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交易额构成明细，按企业统计。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  <w:lang w:eastAsia="zh-CN"/>
              </w:rPr>
              <w:t>集聚区</w:t>
            </w:r>
            <w:r>
              <w:rPr>
                <w:rFonts w:hint="eastAsia" w:asciiTheme="minorEastAsia" w:hAnsiTheme="minorEastAsia"/>
                <w:b/>
              </w:rPr>
              <w:t>企业缴税总额（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3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万元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报告期内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全体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电商产业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企业缴税总额。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电商产业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企业缴税额指企业全年的应缴纳税总额，主要包括企业营业税、增值税、个人所得税、企业所得税、附加税等。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按企业统计。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  <w:lang w:eastAsia="zh-CN"/>
              </w:rPr>
              <w:t>集聚区内电商</w:t>
            </w:r>
            <w:r>
              <w:rPr>
                <w:rFonts w:hint="eastAsia" w:asciiTheme="minorEastAsia" w:hAnsiTheme="minorEastAsia"/>
                <w:b/>
              </w:rPr>
              <w:t>从业人数（3分）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人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1.报告期末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全体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产业集聚区内电商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企业从业人员数量之和。</w:t>
            </w:r>
          </w:p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2.企业从业人数统计口径：在本单位工作并取得劳动报酬或经营收入的实有人员数。从业人员还包括在各单位工作的外方人员和港澳台方人员、兼职人员、再就业的离退休人员、借用的外单位人员和第二职业者，但不包括离开本单位仍保留劳动关系的职工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全体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集聚区电商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企业从业人数，按企业统计，包括企业名称、地址、从业人数、负责人、联系方式。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快递服务</w:t>
            </w: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hint="eastAsia" w:asciiTheme="minorEastAsia" w:hAnsiTheme="minorEastAsia"/>
                <w:b/>
                <w:lang w:eastAsia="zh-CN"/>
              </w:rPr>
            </w:pPr>
            <w:r>
              <w:rPr>
                <w:rFonts w:hint="eastAsia" w:asciiTheme="minorEastAsia" w:hAnsiTheme="minorEastAsia"/>
                <w:b/>
                <w:lang w:eastAsia="zh-CN"/>
              </w:rPr>
              <w:t>快递成本降幅（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3分</w:t>
            </w:r>
            <w:r>
              <w:rPr>
                <w:rFonts w:hint="eastAsia" w:asciiTheme="minorEastAsia" w:hAnsiTheme="minorEastAsia"/>
                <w:b/>
                <w:lang w:eastAsia="zh-CN"/>
              </w:rPr>
              <w:t>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hint="eastAsia"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hint="eastAsia"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基地内快递成本降低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val="en-US" w:eastAsia="zh-CN"/>
              </w:rPr>
              <w:t>2%以内得1分，2%-5%得2分，5%以上得满分。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hint="eastAsia"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相关佐证材料。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绿色发展</w:t>
            </w: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hint="eastAsia" w:asciiTheme="minorEastAsia" w:hAnsiTheme="minorEastAsia"/>
                <w:b/>
                <w:lang w:eastAsia="zh-CN"/>
              </w:rPr>
            </w:pPr>
            <w:r>
              <w:rPr>
                <w:rFonts w:hint="eastAsia" w:asciiTheme="minorEastAsia" w:hAnsiTheme="minorEastAsia"/>
                <w:b/>
                <w:lang w:eastAsia="zh-CN"/>
              </w:rPr>
              <w:t>绿色包装占比（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2分</w:t>
            </w:r>
            <w:r>
              <w:rPr>
                <w:rFonts w:hint="eastAsia" w:asciiTheme="minorEastAsia" w:hAnsiTheme="minorEastAsia"/>
                <w:b/>
                <w:lang w:eastAsia="zh-CN"/>
              </w:rPr>
              <w:t>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hint="eastAsia"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hint="eastAsia"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基地内使用可降解、可回收包装的比例，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val="en-US" w:eastAsia="zh-CN"/>
              </w:rPr>
              <w:t>5%以内得1分。5%-10%得2分，10%以上得满分。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hint="eastAsia"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绿色包装使用情况证明文件。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华文细黑" w:hAnsi="华文细黑" w:eastAsia="华文细黑"/>
                <w:b/>
                <w:sz w:val="24"/>
                <w:szCs w:val="24"/>
              </w:rPr>
            </w:pPr>
          </w:p>
          <w:p>
            <w:pPr>
              <w:spacing w:after="0" w:line="260" w:lineRule="exact"/>
              <w:contextualSpacing/>
              <w:jc w:val="center"/>
              <w:rPr>
                <w:rFonts w:ascii="华文细黑" w:hAnsi="华文细黑" w:eastAsia="华文细黑"/>
                <w:b/>
                <w:sz w:val="24"/>
                <w:szCs w:val="24"/>
              </w:rPr>
            </w:pPr>
          </w:p>
          <w:p>
            <w:pPr>
              <w:spacing w:after="0" w:line="260" w:lineRule="exact"/>
              <w:contextualSpacing/>
              <w:jc w:val="center"/>
              <w:rPr>
                <w:rFonts w:ascii="华文细黑" w:hAnsi="华文细黑" w:eastAsia="华文细黑"/>
                <w:b/>
                <w:sz w:val="24"/>
                <w:szCs w:val="24"/>
              </w:rPr>
            </w:pPr>
          </w:p>
          <w:p>
            <w:pPr>
              <w:spacing w:after="0" w:line="260" w:lineRule="exact"/>
              <w:contextualSpacing/>
              <w:jc w:val="center"/>
              <w:rPr>
                <w:rFonts w:ascii="华文细黑" w:hAnsi="华文细黑" w:eastAsia="华文细黑"/>
                <w:b/>
                <w:sz w:val="24"/>
                <w:szCs w:val="24"/>
              </w:rPr>
            </w:pPr>
          </w:p>
          <w:p>
            <w:pPr>
              <w:spacing w:line="260" w:lineRule="exact"/>
              <w:contextualSpacing/>
              <w:jc w:val="center"/>
              <w:rPr>
                <w:rFonts w:ascii="华文细黑" w:hAnsi="华文细黑" w:eastAsia="华文细黑"/>
                <w:b/>
                <w:sz w:val="24"/>
                <w:szCs w:val="24"/>
              </w:rPr>
            </w:pPr>
            <w:r>
              <w:rPr>
                <w:rFonts w:hint="eastAsia" w:ascii="华文细黑" w:hAnsi="华文细黑" w:eastAsia="华文细黑"/>
                <w:b/>
                <w:sz w:val="24"/>
                <w:szCs w:val="24"/>
              </w:rPr>
              <w:t>服务能力（</w:t>
            </w:r>
            <w:r>
              <w:rPr>
                <w:rFonts w:hint="eastAsia" w:ascii="华文细黑" w:hAnsi="华文细黑" w:eastAsia="华文细黑"/>
                <w:b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华文细黑" w:hAnsi="华文细黑" w:eastAsia="华文细黑"/>
                <w:b/>
                <w:sz w:val="24"/>
                <w:szCs w:val="24"/>
              </w:rPr>
              <w:t>分）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公共服务</w:t>
            </w: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专业服务</w:t>
            </w:r>
          </w:p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是/否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1.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是否具备云服务、共享服务、协同服务功能，以及为入驻企业提供仓储物流、摄影美工、客服托管、代运营、会计事务、专利申办、评估咨询、法律支持等专业服务。</w:t>
            </w:r>
          </w:p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2.有关融资、人才、创业、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孵化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等服务不在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该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专业服务中体现。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各项服务提供机构、方式、相关管理规范文件等。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line="260" w:lineRule="exact"/>
              <w:contextualSpacing/>
              <w:jc w:val="center"/>
              <w:rPr>
                <w:rFonts w:ascii="华文细黑" w:hAnsi="华文细黑" w:eastAsia="华文细黑"/>
                <w:b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行政服务（3分）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是/否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是否为入驻企业提供工商注册、年审年检、税务登记、项目申报等便利服务。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各项服务提供机构、方式、相关管理规范文件等。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华文细黑" w:hAnsi="华文细黑" w:eastAsia="华文细黑"/>
                <w:b/>
              </w:rPr>
            </w:pPr>
          </w:p>
        </w:tc>
        <w:tc>
          <w:tcPr>
            <w:tcW w:w="1342" w:type="dxa"/>
            <w:vMerge w:val="restart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金融服务</w:t>
            </w: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面向入驻</w:t>
            </w:r>
            <w:r>
              <w:rPr>
                <w:rFonts w:hint="eastAsia" w:asciiTheme="minorEastAsia" w:hAnsiTheme="minorEastAsia"/>
                <w:b/>
                <w:lang w:eastAsia="zh-CN"/>
              </w:rPr>
              <w:t>集聚区</w:t>
            </w:r>
            <w:r>
              <w:rPr>
                <w:rFonts w:hint="eastAsia" w:asciiTheme="minorEastAsia" w:hAnsiTheme="minorEastAsia"/>
                <w:b/>
              </w:rPr>
              <w:t>企业的投资基金额度（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万元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1.截至报告期末，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自主或联合社会资本设立面向入驻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电商产业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企业的投资引导基金额度。</w:t>
            </w:r>
          </w:p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2.聚焦于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特色电商产业企业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领域的投资基金额度，而非其他产业。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基金设立、注册及相关证明材料。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获得</w:t>
            </w:r>
            <w:r>
              <w:rPr>
                <w:rFonts w:hint="eastAsia" w:asciiTheme="minorEastAsia" w:hAnsiTheme="minorEastAsia"/>
                <w:b/>
                <w:lang w:eastAsia="zh-CN"/>
              </w:rPr>
              <w:t>集聚区内</w:t>
            </w:r>
            <w:r>
              <w:rPr>
                <w:rFonts w:hint="eastAsia" w:asciiTheme="minorEastAsia" w:hAnsiTheme="minorEastAsia"/>
                <w:b/>
              </w:rPr>
              <w:t>金融服务的</w:t>
            </w:r>
            <w:r>
              <w:rPr>
                <w:rFonts w:hint="eastAsia" w:asciiTheme="minorEastAsia" w:hAnsiTheme="minorEastAsia"/>
                <w:b/>
                <w:lang w:eastAsia="zh-CN"/>
              </w:rPr>
              <w:t>电商产业</w:t>
            </w:r>
            <w:r>
              <w:rPr>
                <w:rFonts w:hint="eastAsia" w:asciiTheme="minorEastAsia" w:hAnsiTheme="minorEastAsia"/>
                <w:b/>
              </w:rPr>
              <w:t>企业数量（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个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报告期内获得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金融服务的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特色电商产业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企业数量，包括但不限于股权投资、借贷服务等。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企业名单，列明以下内容：企业名称、企业法人、联系方式、主营业务。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获得投融资总额（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万元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报告期内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基地特色电商产业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企业通过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设立的投资基金或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引荐的方式获得的投融资总额。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融资明细，可以与指标“获得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金融服务的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电商产业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企业数量”的证明材料共用表格。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restart"/>
            <w:vAlign w:val="center"/>
          </w:tcPr>
          <w:p>
            <w:pPr>
              <w:spacing w:after="0" w:line="260" w:lineRule="exact"/>
              <w:contextualSpacing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人才服务</w:t>
            </w: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  <w:lang w:eastAsia="zh-CN"/>
              </w:rPr>
              <w:t>集聚区内</w:t>
            </w:r>
            <w:r>
              <w:rPr>
                <w:rFonts w:hint="eastAsia" w:asciiTheme="minorEastAsia" w:hAnsiTheme="minorEastAsia"/>
                <w:b/>
              </w:rPr>
              <w:t>人才引进与培养政策（5分）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是/否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截至报告期末，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所在区是否设立或实施区域性的电商人才引进政策；是否设立或实施区域性的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特色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产业电商人才培养政策。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政策文件名称、复印件。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年度</w:t>
            </w:r>
            <w:r>
              <w:rPr>
                <w:rFonts w:hint="eastAsia" w:asciiTheme="minorEastAsia" w:hAnsiTheme="minorEastAsia"/>
                <w:b/>
                <w:lang w:eastAsia="zh-CN"/>
              </w:rPr>
              <w:t>集聚区</w:t>
            </w:r>
            <w:r>
              <w:rPr>
                <w:rFonts w:hint="eastAsia" w:asciiTheme="minorEastAsia" w:hAnsiTheme="minorEastAsia"/>
                <w:b/>
              </w:rPr>
              <w:t>培训人次（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人次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1.报告期内，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组织的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电商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培训总人次数。</w:t>
            </w:r>
          </w:p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2.其他领域培训不计入在内。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明细列表，包括培训班或培训活动主题、日期、培训人数、培训照片、批准文件等。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restart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孵化服务</w:t>
            </w:r>
          </w:p>
          <w:p>
            <w:pPr>
              <w:spacing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在孵</w:t>
            </w:r>
            <w:r>
              <w:rPr>
                <w:rFonts w:hint="eastAsia" w:asciiTheme="minorEastAsia" w:hAnsiTheme="minorEastAsia"/>
                <w:b/>
                <w:lang w:eastAsia="zh-CN"/>
              </w:rPr>
              <w:t>电商产业</w:t>
            </w:r>
            <w:r>
              <w:rPr>
                <w:rFonts w:hint="eastAsia" w:asciiTheme="minorEastAsia" w:hAnsiTheme="minorEastAsia"/>
                <w:b/>
              </w:rPr>
              <w:t>企业数量（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个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报告期末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孵化器内在孵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特色电商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企业数量。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在孵企业名单，包括企业名称、办公地址、入驻时间等。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spacing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企业孵化</w:t>
            </w:r>
          </w:p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成功率（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3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/>
                <w:b/>
                <w:sz w:val="18"/>
                <w:szCs w:val="18"/>
              </w:rPr>
              <w:t>%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计算公式：报告期内孵化毕业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特色电商产业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企业数/（报告期末在孵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特色电商产业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企业数+报告期内孵化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特色电商产业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毕业企业数）×100%。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孵化毕业企业名单，包括企业名称、企业法人、联系方式、主营业务、营业地址。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87" w:type="dxa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创建商标品牌数</w:t>
            </w:r>
          </w:p>
          <w:p>
            <w:pPr>
              <w:spacing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个</w:t>
            </w:r>
          </w:p>
          <w:p>
            <w:pPr>
              <w:spacing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5044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1.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内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电商产业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企业注册的商标、产品品牌或服务品牌数量，以及其中开展网络销售的产品品牌数量。</w:t>
            </w:r>
          </w:p>
          <w:p>
            <w:pPr>
              <w:spacing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2.该商标品牌的创建应直接来源于企业电商交易或服务经营活动。</w:t>
            </w:r>
          </w:p>
        </w:tc>
        <w:tc>
          <w:tcPr>
            <w:tcW w:w="2830" w:type="dxa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商标图形、商标名称、注册号、登记日期、有效期限等。</w:t>
            </w:r>
          </w:p>
          <w:p>
            <w:pPr>
              <w:spacing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  <w:tc>
          <w:tcPr>
            <w:tcW w:w="863" w:type="dxa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restart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环境营造</w:t>
            </w:r>
          </w:p>
        </w:tc>
        <w:tc>
          <w:tcPr>
            <w:tcW w:w="2287" w:type="dxa"/>
            <w:vAlign w:val="center"/>
          </w:tcPr>
          <w:p>
            <w:pPr>
              <w:spacing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统计监测（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line="260" w:lineRule="exact"/>
              <w:contextualSpacing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是/否</w:t>
            </w:r>
          </w:p>
        </w:tc>
        <w:tc>
          <w:tcPr>
            <w:tcW w:w="5044" w:type="dxa"/>
            <w:vAlign w:val="center"/>
          </w:tcPr>
          <w:p>
            <w:pPr>
              <w:spacing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截至报告期末，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是否开展电商统计监测工作；是否及时上报信息、数据并保证数据的真实准确。</w:t>
            </w:r>
          </w:p>
        </w:tc>
        <w:tc>
          <w:tcPr>
            <w:tcW w:w="2830" w:type="dxa"/>
            <w:vAlign w:val="center"/>
          </w:tcPr>
          <w:p>
            <w:pPr>
              <w:spacing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实施直播电商统计监测的制度、方案相关文件及表格等。</w:t>
            </w:r>
          </w:p>
        </w:tc>
        <w:tc>
          <w:tcPr>
            <w:tcW w:w="863" w:type="dxa"/>
            <w:vAlign w:val="center"/>
          </w:tcPr>
          <w:p>
            <w:pPr>
              <w:spacing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  <w:lang w:eastAsia="zh-CN"/>
              </w:rPr>
              <w:t>基地</w:t>
            </w:r>
            <w:r>
              <w:rPr>
                <w:rFonts w:hint="eastAsia" w:asciiTheme="minorEastAsia" w:hAnsiTheme="minorEastAsia"/>
                <w:b/>
              </w:rPr>
              <w:t>开园</w:t>
            </w:r>
          </w:p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运营年限（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年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1.截至报告期末，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开园运营年限。</w:t>
            </w:r>
          </w:p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2.按照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自第一家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电商产业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企业入驻之日计算，此时间点若早于正式开园时间，按开园时间计算。</w:t>
            </w:r>
          </w:p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3.可以细化到月份，如2年8个月。</w:t>
            </w:r>
          </w:p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4.不应是工业区、高新区、经开区等其他类型园区设立或建区年限。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有关批复文件、新闻报道等。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spacing w:after="0" w:line="260" w:lineRule="exact"/>
              <w:contextualSpacing/>
              <w:jc w:val="center"/>
            </w:pPr>
            <w:r>
              <w:rPr>
                <w:rFonts w:hint="eastAsia" w:ascii="华文细黑" w:hAnsi="华文细黑" w:eastAsia="华文细黑"/>
                <w:b/>
                <w:sz w:val="24"/>
                <w:szCs w:val="24"/>
              </w:rPr>
              <w:t>发展能力（1</w:t>
            </w:r>
            <w:r>
              <w:rPr>
                <w:rFonts w:hint="eastAsia" w:ascii="华文细黑" w:hAnsi="华文细黑" w:eastAsia="华文细黑"/>
                <w:b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华文细黑" w:hAnsi="华文细黑" w:eastAsia="华文细黑"/>
                <w:b/>
                <w:sz w:val="24"/>
                <w:szCs w:val="24"/>
              </w:rPr>
              <w:t>分）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发展潜力</w:t>
            </w:r>
            <w:bookmarkStart w:id="0" w:name="_GoBack"/>
            <w:bookmarkEnd w:id="0"/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规划发展（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是/否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1.截至报告期末，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是否根据自身情况编制合理的发展规划，科学指导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建设与未来发展。</w:t>
            </w:r>
          </w:p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2.不应以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所在城市或区域的规划代替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规划。</w:t>
            </w:r>
          </w:p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3.电商领域专业规划而非其他。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规划文件、实施方案、行动计划、可行性研究报告等。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  <w:lang w:eastAsia="zh-CN"/>
              </w:rPr>
              <w:t>产销</w:t>
            </w:r>
            <w:r>
              <w:rPr>
                <w:rFonts w:hint="eastAsia" w:asciiTheme="minorEastAsia" w:hAnsiTheme="minorEastAsia"/>
                <w:b/>
              </w:rPr>
              <w:t>合作（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b/>
              </w:rPr>
              <w:t>分）</w:t>
            </w:r>
          </w:p>
        </w:tc>
        <w:tc>
          <w:tcPr>
            <w:tcW w:w="826" w:type="dxa"/>
            <w:vAlign w:val="center"/>
          </w:tcPr>
          <w:p>
            <w:pPr>
              <w:spacing w:after="0" w:line="260" w:lineRule="exact"/>
              <w:contextualSpacing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是/否</w:t>
            </w:r>
          </w:p>
        </w:tc>
        <w:tc>
          <w:tcPr>
            <w:tcW w:w="5044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截至报告期末，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是否与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区内特色产业相关工业企业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建立合作机制，开展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电子商务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应用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合作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、</w:t>
            </w:r>
            <w:r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  <w:t>推动产品营销</w:t>
            </w: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。</w:t>
            </w:r>
          </w:p>
        </w:tc>
        <w:tc>
          <w:tcPr>
            <w:tcW w:w="2830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相关文件、新闻报道等。</w:t>
            </w:r>
          </w:p>
        </w:tc>
        <w:tc>
          <w:tcPr>
            <w:tcW w:w="863" w:type="dxa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0633" w:type="dxa"/>
            <w:gridSpan w:val="5"/>
            <w:vAlign w:val="center"/>
          </w:tcPr>
          <w:p>
            <w:pPr>
              <w:spacing w:after="0" w:line="260" w:lineRule="exact"/>
              <w:ind w:firstLine="5526" w:firstLineChars="2300"/>
              <w:contextualSpacing/>
              <w:rPr>
                <w:rFonts w:hint="eastAsia" w:ascii="仿宋_GB2312" w:eastAsia="仿宋_GB2312" w:hAnsiTheme="minorEastAsia"/>
                <w:sz w:val="21"/>
                <w:szCs w:val="21"/>
                <w:lang w:eastAsia="zh-CN"/>
              </w:rPr>
            </w:pPr>
            <w:r>
              <w:rPr>
                <w:rFonts w:hint="eastAsia" w:ascii="华文细黑" w:hAnsi="华文细黑" w:eastAsia="华文细黑"/>
                <w:b/>
                <w:sz w:val="24"/>
                <w:szCs w:val="24"/>
                <w:lang w:eastAsia="zh-CN"/>
              </w:rPr>
              <w:t>合计得分</w:t>
            </w:r>
          </w:p>
        </w:tc>
        <w:tc>
          <w:tcPr>
            <w:tcW w:w="3693" w:type="dxa"/>
            <w:gridSpan w:val="2"/>
            <w:vAlign w:val="center"/>
          </w:tcPr>
          <w:p>
            <w:pPr>
              <w:spacing w:after="0" w:line="260" w:lineRule="exact"/>
              <w:contextualSpacing/>
              <w:rPr>
                <w:rFonts w:ascii="仿宋_GB2312" w:eastAsia="仿宋_GB2312" w:hAnsiTheme="minorEastAsia"/>
                <w:sz w:val="21"/>
                <w:szCs w:val="21"/>
              </w:rPr>
            </w:pPr>
          </w:p>
        </w:tc>
      </w:tr>
    </w:tbl>
    <w:p/>
    <w:sectPr>
      <w:footerReference r:id="rId5" w:type="default"/>
      <w:pgSz w:w="16838" w:h="11906" w:orient="landscape"/>
      <w:pgMar w:top="1560" w:right="1440" w:bottom="156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921032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jNWU0YzBkZTVjOTQ3Y2E0Y2ZkMjhiYTM4NTQ3YjMifQ=="/>
  </w:docVars>
  <w:rsids>
    <w:rsidRoot w:val="164F1EB6"/>
    <w:rsid w:val="000A73A1"/>
    <w:rsid w:val="001B1AAB"/>
    <w:rsid w:val="001E208B"/>
    <w:rsid w:val="002A7321"/>
    <w:rsid w:val="00576AD1"/>
    <w:rsid w:val="00BD2A29"/>
    <w:rsid w:val="00CE3761"/>
    <w:rsid w:val="00DE5605"/>
    <w:rsid w:val="00E07342"/>
    <w:rsid w:val="00F026C4"/>
    <w:rsid w:val="00FF6AC2"/>
    <w:rsid w:val="019422A6"/>
    <w:rsid w:val="026003DA"/>
    <w:rsid w:val="03DB0660"/>
    <w:rsid w:val="045F303F"/>
    <w:rsid w:val="04714B20"/>
    <w:rsid w:val="052778F4"/>
    <w:rsid w:val="05655908"/>
    <w:rsid w:val="05860EEA"/>
    <w:rsid w:val="072916E2"/>
    <w:rsid w:val="07E04497"/>
    <w:rsid w:val="08272D5A"/>
    <w:rsid w:val="09CF6571"/>
    <w:rsid w:val="0A6F1B02"/>
    <w:rsid w:val="0CD12600"/>
    <w:rsid w:val="0CF22471"/>
    <w:rsid w:val="0FF94348"/>
    <w:rsid w:val="100377AB"/>
    <w:rsid w:val="1035689F"/>
    <w:rsid w:val="106419D0"/>
    <w:rsid w:val="111E1B8C"/>
    <w:rsid w:val="1224437D"/>
    <w:rsid w:val="140B63F8"/>
    <w:rsid w:val="14F0383F"/>
    <w:rsid w:val="159468C1"/>
    <w:rsid w:val="15C816A3"/>
    <w:rsid w:val="164F1EB6"/>
    <w:rsid w:val="16EE3597"/>
    <w:rsid w:val="19BB266E"/>
    <w:rsid w:val="1B1E1E9A"/>
    <w:rsid w:val="1BBE1FA1"/>
    <w:rsid w:val="1BEC4D61"/>
    <w:rsid w:val="20036B1D"/>
    <w:rsid w:val="218478E5"/>
    <w:rsid w:val="21EA1D42"/>
    <w:rsid w:val="22BB4CC0"/>
    <w:rsid w:val="232E2103"/>
    <w:rsid w:val="266876DA"/>
    <w:rsid w:val="27C92CE4"/>
    <w:rsid w:val="2A2C695D"/>
    <w:rsid w:val="2AA1140C"/>
    <w:rsid w:val="2ACF5F79"/>
    <w:rsid w:val="2B7F12A8"/>
    <w:rsid w:val="2C9254B0"/>
    <w:rsid w:val="303D5733"/>
    <w:rsid w:val="31457A4F"/>
    <w:rsid w:val="324E1E79"/>
    <w:rsid w:val="32E33A0A"/>
    <w:rsid w:val="3560193E"/>
    <w:rsid w:val="36B421FE"/>
    <w:rsid w:val="379D7BC6"/>
    <w:rsid w:val="37E40DB1"/>
    <w:rsid w:val="39365415"/>
    <w:rsid w:val="3A664313"/>
    <w:rsid w:val="3B255741"/>
    <w:rsid w:val="3C2679C3"/>
    <w:rsid w:val="3CE138EA"/>
    <w:rsid w:val="4090023A"/>
    <w:rsid w:val="40AB43DF"/>
    <w:rsid w:val="41B415CD"/>
    <w:rsid w:val="41FA7928"/>
    <w:rsid w:val="422D2EE4"/>
    <w:rsid w:val="455530C7"/>
    <w:rsid w:val="4714323A"/>
    <w:rsid w:val="47A67C0A"/>
    <w:rsid w:val="494F67AB"/>
    <w:rsid w:val="4A9B77CE"/>
    <w:rsid w:val="4AC7411F"/>
    <w:rsid w:val="4BCB5E91"/>
    <w:rsid w:val="4D1B0752"/>
    <w:rsid w:val="4D3A32CE"/>
    <w:rsid w:val="4F8627FB"/>
    <w:rsid w:val="52A82A88"/>
    <w:rsid w:val="52B72CCB"/>
    <w:rsid w:val="52C04276"/>
    <w:rsid w:val="533D7674"/>
    <w:rsid w:val="53E06252"/>
    <w:rsid w:val="55F157B4"/>
    <w:rsid w:val="57123D73"/>
    <w:rsid w:val="59B92EC3"/>
    <w:rsid w:val="5A9102A6"/>
    <w:rsid w:val="5C050F4B"/>
    <w:rsid w:val="5CBC3D00"/>
    <w:rsid w:val="5E5674C7"/>
    <w:rsid w:val="5E736640"/>
    <w:rsid w:val="5EFE107F"/>
    <w:rsid w:val="5F3B6A32"/>
    <w:rsid w:val="6025705D"/>
    <w:rsid w:val="60592395"/>
    <w:rsid w:val="60EC092C"/>
    <w:rsid w:val="617D0C44"/>
    <w:rsid w:val="62633DD6"/>
    <w:rsid w:val="6370314E"/>
    <w:rsid w:val="6615622F"/>
    <w:rsid w:val="66E75E1D"/>
    <w:rsid w:val="66F26971"/>
    <w:rsid w:val="677156E7"/>
    <w:rsid w:val="69DF2DDC"/>
    <w:rsid w:val="6C445178"/>
    <w:rsid w:val="6E4E22DE"/>
    <w:rsid w:val="6FF63EB0"/>
    <w:rsid w:val="712C4F82"/>
    <w:rsid w:val="7645046A"/>
    <w:rsid w:val="78D14237"/>
    <w:rsid w:val="7B707D38"/>
    <w:rsid w:val="7C0C2908"/>
    <w:rsid w:val="7C2834E1"/>
    <w:rsid w:val="7E9A5B7C"/>
    <w:rsid w:val="7EF4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Revision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2583</Words>
  <Characters>2650</Characters>
  <Lines>27</Lines>
  <Paragraphs>7</Paragraphs>
  <TotalTime>29</TotalTime>
  <ScaleCrop>false</ScaleCrop>
  <LinksUpToDate>false</LinksUpToDate>
  <CharactersWithSpaces>2650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2023-03-17T22:07:00Z</dcterms:created>
  <dc:creator>杨艺杰</dc:creator>
  <cp:lastModifiedBy>NO.</cp:lastModifiedBy>
  <cp:lastPrinted>2023-03-20T01:35:00Z</cp:lastPrinted>
  <dcterms:modified xsi:type="dcterms:W3CDTF">2023-03-30T16:02:33Z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825F84145D4947D2BB881E1D13A32D6B</vt:lpwstr>
  </property>
</Properties>
</file>