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40" w:lineRule="exact"/>
        <w:rPr>
          <w:rFonts w:hint="eastAsia" w:ascii="黑体" w:hAnsi="黑体" w:eastAsia="黑体" w:cs="黑体"/>
          <w:sz w:val="32"/>
          <w:szCs w:val="32"/>
        </w:rPr>
      </w:pPr>
      <w:r>
        <w:rPr>
          <w:rFonts w:hint="eastAsia" w:ascii="黑体" w:hAnsi="黑体" w:eastAsia="黑体" w:cs="黑体"/>
          <w:sz w:val="32"/>
          <w:szCs w:val="32"/>
        </w:rPr>
        <w:t>附件7：</w:t>
      </w:r>
    </w:p>
    <w:p>
      <w:pPr>
        <w:spacing w:after="0" w:line="440" w:lineRule="exact"/>
        <w:jc w:val="center"/>
        <w:rPr>
          <w:rFonts w:hint="eastAsia" w:asciiTheme="majorEastAsia" w:hAnsiTheme="majorEastAsia" w:eastAsiaTheme="majorEastAsia"/>
          <w:b/>
          <w:sz w:val="36"/>
          <w:szCs w:val="36"/>
        </w:rPr>
      </w:pPr>
      <w:r>
        <w:rPr>
          <w:rFonts w:hint="eastAsia" w:asciiTheme="majorEastAsia" w:hAnsiTheme="majorEastAsia" w:eastAsiaTheme="majorEastAsia"/>
          <w:b/>
          <w:sz w:val="36"/>
          <w:szCs w:val="36"/>
        </w:rPr>
        <w:t>广西电子商务示范基地（直播类）评价指标体系</w:t>
      </w:r>
    </w:p>
    <w:p>
      <w:pPr>
        <w:spacing w:after="0" w:line="440" w:lineRule="exact"/>
        <w:jc w:val="center"/>
        <w:rPr>
          <w:rFonts w:asciiTheme="majorEastAsia" w:hAnsiTheme="majorEastAsia" w:eastAsiaTheme="majorEastAsia"/>
          <w:b/>
          <w:sz w:val="36"/>
          <w:szCs w:val="36"/>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025"/>
        <w:gridCol w:w="2060"/>
        <w:gridCol w:w="434"/>
        <w:gridCol w:w="5437"/>
        <w:gridCol w:w="3137"/>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blHeader/>
          <w:jc w:val="center"/>
        </w:trPr>
        <w:tc>
          <w:tcPr>
            <w:tcW w:w="963"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一级</w:t>
            </w:r>
          </w:p>
          <w:p>
            <w:pPr>
              <w:spacing w:after="0" w:line="260" w:lineRule="exact"/>
              <w:contextualSpacing/>
              <w:jc w:val="center"/>
              <w:rPr>
                <w:rFonts w:asciiTheme="minorEastAsia" w:hAnsiTheme="minorEastAsia"/>
                <w:b/>
              </w:rPr>
            </w:pPr>
            <w:r>
              <w:rPr>
                <w:rFonts w:hint="eastAsia" w:asciiTheme="minorEastAsia" w:hAnsiTheme="minorEastAsia"/>
                <w:b/>
              </w:rPr>
              <w:t>指标</w:t>
            </w:r>
          </w:p>
        </w:tc>
        <w:tc>
          <w:tcPr>
            <w:tcW w:w="1025"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二级</w:t>
            </w:r>
          </w:p>
          <w:p>
            <w:pPr>
              <w:spacing w:after="0" w:line="260" w:lineRule="exact"/>
              <w:contextualSpacing/>
              <w:jc w:val="center"/>
              <w:rPr>
                <w:rFonts w:asciiTheme="minorEastAsia" w:hAnsiTheme="minorEastAsia"/>
                <w:b/>
              </w:rPr>
            </w:pPr>
            <w:r>
              <w:rPr>
                <w:rFonts w:hint="eastAsia" w:asciiTheme="minorEastAsia" w:hAnsiTheme="minorEastAsia"/>
                <w:b/>
              </w:rPr>
              <w:t>指标</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三级指标</w:t>
            </w:r>
          </w:p>
        </w:tc>
        <w:tc>
          <w:tcPr>
            <w:tcW w:w="434"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单位</w:t>
            </w:r>
          </w:p>
        </w:tc>
        <w:tc>
          <w:tcPr>
            <w:tcW w:w="5437"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指标解释</w:t>
            </w:r>
          </w:p>
        </w:tc>
        <w:tc>
          <w:tcPr>
            <w:tcW w:w="3137"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证明材料</w:t>
            </w:r>
          </w:p>
          <w:p>
            <w:pPr>
              <w:spacing w:after="0" w:line="260" w:lineRule="exact"/>
              <w:contextualSpacing/>
              <w:jc w:val="center"/>
              <w:rPr>
                <w:rFonts w:asciiTheme="minorEastAsia" w:hAnsiTheme="minorEastAsia"/>
                <w:b/>
              </w:rPr>
            </w:pPr>
            <w:r>
              <w:rPr>
                <w:rFonts w:hint="eastAsia" w:asciiTheme="minorEastAsia" w:hAnsiTheme="minorEastAsia"/>
                <w:b/>
              </w:rPr>
              <w:t>（包括但不限于以下内容）</w:t>
            </w:r>
          </w:p>
        </w:tc>
        <w:tc>
          <w:tcPr>
            <w:tcW w:w="1118" w:type="dxa"/>
            <w:vAlign w:val="center"/>
          </w:tcPr>
          <w:p>
            <w:pPr>
              <w:spacing w:after="0" w:line="260" w:lineRule="exact"/>
              <w:contextualSpacing/>
              <w:jc w:val="center"/>
              <w:rPr>
                <w:rFonts w:hint="eastAsia" w:asciiTheme="minorEastAsia" w:hAnsiTheme="minorEastAsia" w:eastAsiaTheme="minorEastAsia"/>
                <w:b/>
                <w:lang w:eastAsia="zh-CN"/>
              </w:rPr>
            </w:pPr>
            <w:r>
              <w:rPr>
                <w:rFonts w:hint="eastAsia" w:asciiTheme="minorEastAsia" w:hAnsiTheme="minorEastAsia"/>
                <w:b/>
              </w:rPr>
              <w:t>得分</w:t>
            </w:r>
          </w:p>
          <w:p>
            <w:pPr>
              <w:spacing w:after="0" w:line="260" w:lineRule="exact"/>
              <w:contextualSpacing/>
              <w:jc w:val="center"/>
              <w:rPr>
                <w:rFonts w:asciiTheme="minorEastAsia" w:hAnsiTheme="minorEastAsia"/>
                <w:b/>
              </w:rPr>
            </w:pPr>
            <w:r>
              <w:rPr>
                <w:rFonts w:ascii="Times New Roman" w:hAnsi="Times New Roman" w:eastAsia="宋体" w:cs="Times New Roman"/>
                <w:spacing w:val="-1"/>
                <w:sz w:val="18"/>
                <w:szCs w:val="18"/>
              </w:rPr>
              <w:t>满分（100）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963" w:type="dxa"/>
            <w:vMerge w:val="restart"/>
            <w:vAlign w:val="center"/>
          </w:tcPr>
          <w:p>
            <w:pPr>
              <w:spacing w:after="0" w:line="260" w:lineRule="exact"/>
              <w:contextualSpacing/>
              <w:jc w:val="center"/>
              <w:rPr>
                <w:rFonts w:ascii="黑体" w:hAnsi="黑体" w:eastAsia="黑体"/>
                <w:b/>
                <w:sz w:val="24"/>
                <w:szCs w:val="24"/>
              </w:rPr>
            </w:pPr>
            <w:r>
              <w:rPr>
                <w:rFonts w:hint="eastAsia" w:ascii="黑体" w:hAnsi="黑体" w:eastAsia="黑体"/>
                <w:b/>
                <w:sz w:val="24"/>
                <w:szCs w:val="24"/>
              </w:rPr>
              <w:t>承载</w:t>
            </w:r>
          </w:p>
          <w:p>
            <w:pPr>
              <w:spacing w:after="0" w:line="260" w:lineRule="exact"/>
              <w:contextualSpacing/>
              <w:jc w:val="center"/>
              <w:rPr>
                <w:rFonts w:ascii="黑体" w:hAnsi="黑体" w:eastAsia="黑体"/>
                <w:b/>
                <w:sz w:val="24"/>
                <w:szCs w:val="24"/>
              </w:rPr>
            </w:pPr>
            <w:r>
              <w:rPr>
                <w:rFonts w:hint="eastAsia" w:ascii="黑体" w:hAnsi="黑体" w:eastAsia="黑体"/>
                <w:b/>
                <w:sz w:val="24"/>
                <w:szCs w:val="24"/>
              </w:rPr>
              <w:t>能力</w:t>
            </w:r>
          </w:p>
          <w:p>
            <w:pPr>
              <w:spacing w:after="0" w:line="260" w:lineRule="exact"/>
              <w:contextualSpacing/>
              <w:jc w:val="center"/>
            </w:pPr>
            <w:r>
              <w:rPr>
                <w:rFonts w:hint="eastAsia" w:ascii="黑体" w:hAnsi="黑体" w:eastAsia="黑体"/>
                <w:b/>
                <w:sz w:val="24"/>
                <w:szCs w:val="24"/>
              </w:rPr>
              <w:t>（</w:t>
            </w:r>
            <w:r>
              <w:rPr>
                <w:rFonts w:hint="eastAsia" w:ascii="黑体" w:hAnsi="黑体" w:eastAsia="黑体"/>
                <w:b/>
                <w:sz w:val="24"/>
                <w:szCs w:val="24"/>
                <w:lang w:val="en-US" w:eastAsia="zh-CN"/>
              </w:rPr>
              <w:t>20</w:t>
            </w:r>
            <w:r>
              <w:rPr>
                <w:rFonts w:hint="eastAsia" w:ascii="黑体" w:hAnsi="黑体" w:eastAsia="黑体"/>
                <w:b/>
                <w:sz w:val="24"/>
                <w:szCs w:val="24"/>
              </w:rPr>
              <w:t>）</w:t>
            </w: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基础</w:t>
            </w:r>
          </w:p>
          <w:p>
            <w:pPr>
              <w:spacing w:after="0" w:line="260" w:lineRule="exact"/>
              <w:contextualSpacing/>
              <w:jc w:val="center"/>
              <w:rPr>
                <w:rFonts w:ascii="楷体" w:hAnsi="楷体" w:eastAsia="楷体"/>
                <w:sz w:val="24"/>
                <w:szCs w:val="24"/>
              </w:rPr>
            </w:pPr>
            <w:r>
              <w:rPr>
                <w:rFonts w:hint="eastAsia" w:ascii="楷体" w:hAnsi="楷体" w:eastAsia="楷体"/>
                <w:sz w:val="24"/>
                <w:szCs w:val="24"/>
              </w:rPr>
              <w:t>硬件</w:t>
            </w:r>
          </w:p>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lang w:eastAsia="zh-CN"/>
              </w:rPr>
              <w:t>经营</w:t>
            </w:r>
            <w:r>
              <w:rPr>
                <w:rFonts w:hint="eastAsia" w:asciiTheme="minorEastAsia" w:hAnsiTheme="minorEastAsia"/>
                <w:b/>
              </w:rPr>
              <w:t>面积（</w:t>
            </w:r>
            <w:r>
              <w:rPr>
                <w:rFonts w:hint="eastAsia" w:asciiTheme="minorEastAsia" w:hAnsiTheme="minorEastAsia"/>
                <w:b/>
                <w:lang w:val="en-US" w:eastAsia="zh-CN"/>
              </w:rPr>
              <w:t>2</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平方米</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1.已投入使用的、用于直播电商企业办公的总建筑面积，不包括用于仓储、配套等用途的建筑面积。</w:t>
            </w:r>
          </w:p>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rPr>
              <w:t>2.在建和已建成未使用的面积不计入在内。</w:t>
            </w:r>
          </w:p>
          <w:p>
            <w:pPr>
              <w:spacing w:after="0" w:line="260" w:lineRule="exact"/>
              <w:contextualSpacing/>
              <w:rPr>
                <w:rFonts w:hint="default" w:ascii="仿宋_GB2312" w:eastAsia="仿宋_GB2312" w:hAnsiTheme="minorEastAsia"/>
                <w:sz w:val="21"/>
                <w:szCs w:val="21"/>
                <w:lang w:val="en-US" w:eastAsia="zh-CN"/>
              </w:rPr>
            </w:pPr>
            <w:r>
              <w:rPr>
                <w:rFonts w:hint="eastAsia" w:ascii="仿宋_GB2312" w:eastAsia="仿宋_GB2312" w:hAnsiTheme="minorEastAsia"/>
                <w:sz w:val="21"/>
                <w:szCs w:val="21"/>
                <w:lang w:val="en-US" w:eastAsia="zh-CN"/>
              </w:rPr>
              <w:t>3.1000平米以内不得分，2000平米以上得满分。</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提供直播电商基地建筑面积明细表，以楼宇或企业为单位进行统计。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配套服务面积（2分）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平方米</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基地已投入使用的、用于为直播电商企业提供商业及生活配套的建筑面积，包括仓储面积，也包括为基地直播电商企业提供食宿、休闲娱乐等服务用途的建筑面积。</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提供配套服务面积明细表，以楼宇或配套功能区为单位进行统计。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hint="eastAsia" w:asciiTheme="minorEastAsia" w:hAnsiTheme="minorEastAsia"/>
                <w:b/>
              </w:rPr>
            </w:pPr>
            <w:r>
              <w:rPr>
                <w:rFonts w:hint="eastAsia" w:asciiTheme="minorEastAsia" w:hAnsiTheme="minorEastAsia"/>
                <w:b/>
              </w:rPr>
              <w:t>平均网络带宽</w:t>
            </w:r>
          </w:p>
          <w:p>
            <w:pPr>
              <w:spacing w:after="0" w:line="260" w:lineRule="exact"/>
              <w:contextualSpacing/>
              <w:jc w:val="center"/>
              <w:rPr>
                <w:rFonts w:hint="eastAsia" w:asciiTheme="minorEastAsia" w:hAnsiTheme="minorEastAsia"/>
                <w:b/>
              </w:rPr>
            </w:pPr>
            <w:r>
              <w:rPr>
                <w:rFonts w:hint="eastAsia" w:asciiTheme="minorEastAsia" w:hAnsiTheme="minorEastAsia"/>
                <w:b/>
              </w:rPr>
              <w:t>（1分）</w:t>
            </w:r>
          </w:p>
        </w:tc>
        <w:tc>
          <w:tcPr>
            <w:tcW w:w="434" w:type="dxa"/>
            <w:vAlign w:val="center"/>
          </w:tcPr>
          <w:p>
            <w:pPr>
              <w:spacing w:after="0" w:line="260" w:lineRule="exact"/>
              <w:contextualSpacing/>
              <w:jc w:val="center"/>
              <w:rPr>
                <w:rFonts w:hint="eastAsia" w:asciiTheme="minorEastAsia" w:hAnsiTheme="minorEastAsia"/>
                <w:b/>
                <w:sz w:val="18"/>
                <w:szCs w:val="18"/>
              </w:rPr>
            </w:pPr>
            <w:r>
              <w:rPr>
                <w:rFonts w:hint="eastAsia" w:asciiTheme="minorEastAsia" w:hAnsiTheme="minorEastAsia"/>
                <w:b/>
                <w:sz w:val="18"/>
                <w:szCs w:val="18"/>
              </w:rPr>
              <w:t>Mbps</w:t>
            </w:r>
          </w:p>
        </w:tc>
        <w:tc>
          <w:tcPr>
            <w:tcW w:w="54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1.基地所有直播电商企业网络带宽之和与入驻企业数量之间的比值。</w:t>
            </w:r>
          </w:p>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lang w:eastAsia="zh-CN"/>
              </w:rPr>
              <w:t>2.是平均带宽，而不是总带宽。</w:t>
            </w:r>
          </w:p>
        </w:tc>
        <w:tc>
          <w:tcPr>
            <w:tcW w:w="31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lang w:eastAsia="zh-CN"/>
              </w:rPr>
              <w:t>提供网络运营商协议等。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ind w:firstLine="221" w:firstLineChars="100"/>
              <w:contextualSpacing/>
              <w:jc w:val="both"/>
              <w:rPr>
                <w:rFonts w:hint="eastAsia" w:asciiTheme="minorEastAsia" w:hAnsiTheme="minorEastAsia" w:eastAsiaTheme="minorEastAsia"/>
                <w:b/>
                <w:lang w:val="en-US" w:eastAsia="zh-CN"/>
              </w:rPr>
            </w:pPr>
            <w:r>
              <w:rPr>
                <w:rFonts w:hint="eastAsia" w:asciiTheme="minorEastAsia" w:hAnsiTheme="minorEastAsia"/>
                <w:b/>
                <w:lang w:val="en-US" w:eastAsia="zh-CN"/>
              </w:rPr>
              <w:t>直播间数量（5分）</w:t>
            </w:r>
          </w:p>
        </w:tc>
        <w:tc>
          <w:tcPr>
            <w:tcW w:w="434" w:type="dxa"/>
            <w:vAlign w:val="center"/>
          </w:tcPr>
          <w:p>
            <w:pPr>
              <w:spacing w:after="0" w:line="260" w:lineRule="exact"/>
              <w:contextualSpacing/>
              <w:jc w:val="center"/>
              <w:rPr>
                <w:rFonts w:hint="eastAsia" w:asciiTheme="minorEastAsia" w:hAnsiTheme="minorEastAsia" w:eastAsiaTheme="minorEastAsia"/>
                <w:b/>
                <w:sz w:val="18"/>
                <w:szCs w:val="18"/>
                <w:lang w:eastAsia="zh-CN"/>
              </w:rPr>
            </w:pPr>
            <w:r>
              <w:rPr>
                <w:rFonts w:hint="eastAsia" w:asciiTheme="minorEastAsia" w:hAnsiTheme="minorEastAsia"/>
                <w:b/>
                <w:sz w:val="18"/>
                <w:szCs w:val="18"/>
                <w:lang w:eastAsia="zh-CN"/>
              </w:rPr>
              <w:t>间</w:t>
            </w:r>
          </w:p>
        </w:tc>
        <w:tc>
          <w:tcPr>
            <w:tcW w:w="54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rPr>
              <w:t>基地已投入使用的、用于为直播电商企业提供</w:t>
            </w:r>
            <w:r>
              <w:rPr>
                <w:rFonts w:hint="eastAsia" w:ascii="仿宋_GB2312" w:eastAsia="仿宋_GB2312" w:hAnsiTheme="minorEastAsia"/>
                <w:sz w:val="21"/>
                <w:szCs w:val="21"/>
                <w:lang w:eastAsia="zh-CN"/>
              </w:rPr>
              <w:t>直播带货</w:t>
            </w:r>
            <w:r>
              <w:rPr>
                <w:rFonts w:hint="eastAsia" w:ascii="仿宋_GB2312" w:eastAsia="仿宋_GB2312" w:hAnsiTheme="minorEastAsia"/>
                <w:sz w:val="21"/>
                <w:szCs w:val="21"/>
              </w:rPr>
              <w:t>等服务用途的</w:t>
            </w:r>
            <w:r>
              <w:rPr>
                <w:rFonts w:hint="eastAsia" w:ascii="仿宋_GB2312" w:eastAsia="仿宋_GB2312" w:hAnsiTheme="minorEastAsia"/>
                <w:sz w:val="21"/>
                <w:szCs w:val="21"/>
                <w:lang w:eastAsia="zh-CN"/>
              </w:rPr>
              <w:t>直播间，需要有完善的直播设备</w:t>
            </w:r>
            <w:r>
              <w:rPr>
                <w:rFonts w:hint="eastAsia" w:ascii="仿宋_GB2312" w:eastAsia="仿宋_GB2312" w:hAnsiTheme="minorEastAsia"/>
                <w:sz w:val="21"/>
                <w:szCs w:val="21"/>
              </w:rPr>
              <w:t>。</w:t>
            </w:r>
          </w:p>
        </w:tc>
        <w:tc>
          <w:tcPr>
            <w:tcW w:w="31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rPr>
              <w:t>提供</w:t>
            </w:r>
            <w:r>
              <w:rPr>
                <w:rFonts w:hint="eastAsia" w:ascii="仿宋_GB2312" w:eastAsia="仿宋_GB2312" w:hAnsiTheme="minorEastAsia"/>
                <w:sz w:val="21"/>
                <w:szCs w:val="21"/>
                <w:lang w:eastAsia="zh-CN"/>
              </w:rPr>
              <w:t>直播间布局平面图，</w:t>
            </w:r>
            <w:r>
              <w:rPr>
                <w:rFonts w:hint="eastAsia" w:ascii="仿宋_GB2312" w:eastAsia="仿宋_GB2312" w:hAnsiTheme="minorEastAsia"/>
                <w:sz w:val="21"/>
                <w:szCs w:val="21"/>
              </w:rPr>
              <w:t>面积</w:t>
            </w:r>
            <w:r>
              <w:rPr>
                <w:rFonts w:hint="eastAsia" w:ascii="仿宋_GB2312" w:eastAsia="仿宋_GB2312" w:hAnsiTheme="minorEastAsia"/>
                <w:sz w:val="21"/>
                <w:szCs w:val="21"/>
                <w:lang w:eastAsia="zh-CN"/>
              </w:rPr>
              <w:t>及直播设备</w:t>
            </w:r>
            <w:r>
              <w:rPr>
                <w:rFonts w:hint="eastAsia" w:ascii="仿宋_GB2312" w:eastAsia="仿宋_GB2312" w:hAnsiTheme="minorEastAsia"/>
                <w:sz w:val="21"/>
                <w:szCs w:val="21"/>
              </w:rPr>
              <w:t>明细表，以</w:t>
            </w:r>
            <w:r>
              <w:rPr>
                <w:rFonts w:hint="eastAsia" w:ascii="仿宋_GB2312" w:eastAsia="仿宋_GB2312" w:hAnsiTheme="minorEastAsia"/>
                <w:sz w:val="21"/>
                <w:szCs w:val="21"/>
                <w:lang w:eastAsia="zh-CN"/>
              </w:rPr>
              <w:t>间</w:t>
            </w:r>
            <w:r>
              <w:rPr>
                <w:rFonts w:hint="eastAsia" w:ascii="仿宋_GB2312" w:eastAsia="仿宋_GB2312" w:hAnsiTheme="minorEastAsia"/>
                <w:sz w:val="21"/>
                <w:szCs w:val="21"/>
              </w:rPr>
              <w:t>为单位进行统计。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963" w:type="dxa"/>
            <w:vMerge w:val="continue"/>
            <w:vAlign w:val="center"/>
          </w:tcPr>
          <w:p>
            <w:pPr>
              <w:spacing w:after="0" w:line="260" w:lineRule="exact"/>
              <w:contextualSpacing/>
              <w:jc w:val="center"/>
            </w:pP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入驻</w:t>
            </w:r>
          </w:p>
          <w:p>
            <w:pPr>
              <w:spacing w:after="0" w:line="260" w:lineRule="exact"/>
              <w:contextualSpacing/>
              <w:jc w:val="center"/>
              <w:rPr>
                <w:rFonts w:ascii="楷体" w:hAnsi="楷体" w:eastAsia="楷体"/>
                <w:sz w:val="24"/>
                <w:szCs w:val="24"/>
              </w:rPr>
            </w:pPr>
            <w:r>
              <w:rPr>
                <w:rFonts w:hint="eastAsia" w:ascii="楷体" w:hAnsi="楷体" w:eastAsia="楷体"/>
                <w:sz w:val="24"/>
                <w:szCs w:val="24"/>
              </w:rPr>
              <w:t>企业</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直播电商企业数量（</w:t>
            </w:r>
            <w:r>
              <w:rPr>
                <w:rFonts w:hint="eastAsia" w:asciiTheme="minorEastAsia" w:hAnsiTheme="minorEastAsia"/>
                <w:b/>
                <w:lang w:val="en-US" w:eastAsia="zh-CN"/>
              </w:rPr>
              <w:t>5</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个</w:t>
            </w:r>
          </w:p>
        </w:tc>
        <w:tc>
          <w:tcPr>
            <w:tcW w:w="5437" w:type="dxa"/>
            <w:vAlign w:val="center"/>
          </w:tcPr>
          <w:p>
            <w:pPr>
              <w:tabs>
                <w:tab w:val="left" w:pos="312"/>
              </w:tabs>
              <w:spacing w:after="0" w:line="260" w:lineRule="exact"/>
              <w:rPr>
                <w:rFonts w:ascii="仿宋_GB2312" w:eastAsia="仿宋_GB2312" w:hAnsiTheme="minorEastAsia"/>
                <w:sz w:val="21"/>
                <w:szCs w:val="21"/>
              </w:rPr>
            </w:pPr>
            <w:r>
              <w:rPr>
                <w:rFonts w:hint="eastAsia" w:ascii="仿宋_GB2312" w:eastAsia="仿宋_GB2312" w:hAnsiTheme="minorEastAsia"/>
                <w:sz w:val="21"/>
                <w:szCs w:val="21"/>
              </w:rPr>
              <w:t>报告期末入驻基地全部直播电商企业（含在孵直播电商企业</w:t>
            </w:r>
            <w:r>
              <w:rPr>
                <w:rFonts w:hint="eastAsia" w:ascii="仿宋_GB2312" w:eastAsia="仿宋_GB2312" w:hAnsiTheme="minorEastAsia"/>
                <w:sz w:val="21"/>
                <w:szCs w:val="21"/>
                <w:lang w:eastAsia="zh-CN"/>
              </w:rPr>
              <w:t>，</w:t>
            </w:r>
            <w:r>
              <w:rPr>
                <w:rFonts w:hint="eastAsia" w:ascii="仿宋_GB2312" w:eastAsia="仿宋_GB2312" w:hAnsiTheme="minorEastAsia"/>
                <w:sz w:val="21"/>
                <w:szCs w:val="21"/>
                <w:lang w:val="en-US" w:eastAsia="zh-CN"/>
              </w:rPr>
              <w:t>MCN机构</w:t>
            </w:r>
            <w:r>
              <w:rPr>
                <w:rFonts w:hint="eastAsia" w:ascii="仿宋_GB2312" w:eastAsia="仿宋_GB2312" w:hAnsiTheme="minorEastAsia"/>
                <w:sz w:val="21"/>
                <w:szCs w:val="21"/>
              </w:rPr>
              <w:t>）数量，主要包括</w:t>
            </w:r>
            <w:r>
              <w:rPr>
                <w:rFonts w:hint="eastAsia" w:ascii="仿宋_GB2312" w:eastAsia="仿宋_GB2312" w:hAnsiTheme="majorEastAsia" w:cstheme="majorEastAsia"/>
                <w:sz w:val="21"/>
                <w:szCs w:val="21"/>
              </w:rPr>
              <w:t>直播电商上下游产业链相关企业。</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提供企业名单，列明以下内容：企业名称、企业法人、联系方式、主营业务、营业地址。</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rPr>
                <w:rFonts w:asciiTheme="minorEastAsia" w:hAnsiTheme="minorEastAsia"/>
                <w:b/>
              </w:rPr>
            </w:pPr>
            <w:r>
              <w:rPr>
                <w:rFonts w:hint="eastAsia" w:asciiTheme="minorEastAsia" w:hAnsiTheme="minorEastAsia"/>
                <w:b/>
              </w:rPr>
              <w:t>直播电商企业入驻率（</w:t>
            </w:r>
            <w:r>
              <w:rPr>
                <w:rFonts w:hint="eastAsia" w:asciiTheme="minorEastAsia" w:hAnsiTheme="minorEastAsia"/>
                <w:b/>
                <w:lang w:val="en-US" w:eastAsia="zh-CN"/>
              </w:rPr>
              <w:t>2</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asciiTheme="minorEastAsia" w:hAnsiTheme="minorEastAsia"/>
                <w:b/>
                <w:sz w:val="18"/>
                <w:szCs w:val="18"/>
              </w:rPr>
              <w:t>%</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基地直播电商企业数量与全部入驻企业数量之间的比值。</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提供全部入驻企业数量及证明材料。</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63" w:type="dxa"/>
            <w:vMerge w:val="continue"/>
            <w:vAlign w:val="center"/>
          </w:tcPr>
          <w:p>
            <w:pPr>
              <w:spacing w:after="0" w:line="260" w:lineRule="exact"/>
              <w:contextualSpacing/>
              <w:jc w:val="center"/>
            </w:pPr>
          </w:p>
        </w:tc>
        <w:tc>
          <w:tcPr>
            <w:tcW w:w="1025" w:type="dxa"/>
            <w:vAlign w:val="center"/>
          </w:tcPr>
          <w:p>
            <w:pPr>
              <w:spacing w:after="0" w:line="260" w:lineRule="exact"/>
              <w:contextualSpacing/>
              <w:jc w:val="center"/>
              <w:rPr>
                <w:rFonts w:hint="eastAsia" w:ascii="楷体" w:hAnsi="楷体" w:eastAsia="楷体"/>
                <w:sz w:val="24"/>
                <w:szCs w:val="24"/>
                <w:lang w:eastAsia="zh-CN"/>
              </w:rPr>
            </w:pPr>
            <w:r>
              <w:rPr>
                <w:rFonts w:hint="eastAsia" w:ascii="楷体" w:hAnsi="楷体" w:eastAsia="楷体"/>
                <w:sz w:val="24"/>
                <w:szCs w:val="24"/>
                <w:lang w:eastAsia="zh-CN"/>
              </w:rPr>
              <w:t>入驻主播</w:t>
            </w:r>
          </w:p>
        </w:tc>
        <w:tc>
          <w:tcPr>
            <w:tcW w:w="2060" w:type="dxa"/>
            <w:vAlign w:val="center"/>
          </w:tcPr>
          <w:p>
            <w:pPr>
              <w:spacing w:after="0" w:line="260" w:lineRule="exact"/>
              <w:contextualSpacing/>
              <w:rPr>
                <w:rFonts w:hint="eastAsia" w:asciiTheme="minorEastAsia" w:hAnsiTheme="minorEastAsia" w:eastAsiaTheme="minorEastAsia"/>
                <w:b/>
                <w:lang w:eastAsia="zh-CN"/>
              </w:rPr>
            </w:pPr>
            <w:r>
              <w:rPr>
                <w:rFonts w:hint="eastAsia" w:asciiTheme="minorEastAsia" w:hAnsiTheme="minorEastAsia"/>
                <w:b/>
                <w:lang w:eastAsia="zh-CN"/>
              </w:rPr>
              <w:t>主播入驻数量（</w:t>
            </w:r>
            <w:r>
              <w:rPr>
                <w:rFonts w:hint="eastAsia" w:asciiTheme="minorEastAsia" w:hAnsiTheme="minorEastAsia"/>
                <w:b/>
                <w:lang w:val="en-US" w:eastAsia="zh-CN"/>
              </w:rPr>
              <w:t>3分</w:t>
            </w:r>
            <w:r>
              <w:rPr>
                <w:rFonts w:hint="eastAsia" w:asciiTheme="minorEastAsia" w:hAnsiTheme="minorEastAsia"/>
                <w:b/>
                <w:lang w:eastAsia="zh-CN"/>
              </w:rPr>
              <w:t>）</w:t>
            </w:r>
          </w:p>
        </w:tc>
        <w:tc>
          <w:tcPr>
            <w:tcW w:w="434" w:type="dxa"/>
            <w:vAlign w:val="center"/>
          </w:tcPr>
          <w:p>
            <w:pPr>
              <w:spacing w:after="0" w:line="260" w:lineRule="exact"/>
              <w:contextualSpacing/>
              <w:jc w:val="center"/>
              <w:rPr>
                <w:rFonts w:hint="eastAsia" w:asciiTheme="minorEastAsia" w:hAnsiTheme="minorEastAsia" w:eastAsiaTheme="minorEastAsia"/>
                <w:b/>
                <w:sz w:val="18"/>
                <w:szCs w:val="18"/>
                <w:lang w:eastAsia="zh-CN"/>
              </w:rPr>
            </w:pPr>
            <w:r>
              <w:rPr>
                <w:rFonts w:hint="eastAsia" w:asciiTheme="minorEastAsia" w:hAnsiTheme="minorEastAsia"/>
                <w:b/>
                <w:sz w:val="18"/>
                <w:szCs w:val="18"/>
                <w:lang w:eastAsia="zh-CN"/>
              </w:rPr>
              <w:t>个</w:t>
            </w:r>
          </w:p>
        </w:tc>
        <w:tc>
          <w:tcPr>
            <w:tcW w:w="5437" w:type="dxa"/>
            <w:vAlign w:val="center"/>
          </w:tcPr>
          <w:p>
            <w:pPr>
              <w:spacing w:after="0" w:line="260" w:lineRule="exact"/>
              <w:contextualSpacing/>
              <w:rPr>
                <w:rFonts w:hint="eastAsia" w:ascii="仿宋_GB2312" w:eastAsia="仿宋_GB2312" w:hAnsiTheme="minorEastAsia"/>
                <w:sz w:val="21"/>
                <w:szCs w:val="21"/>
                <w:lang w:val="en-US" w:eastAsia="zh-CN"/>
              </w:rPr>
            </w:pPr>
            <w:r>
              <w:rPr>
                <w:rFonts w:hint="eastAsia" w:ascii="仿宋_GB2312" w:eastAsia="仿宋_GB2312" w:hAnsiTheme="minorEastAsia"/>
                <w:sz w:val="21"/>
                <w:szCs w:val="21"/>
                <w:lang w:eastAsia="zh-CN"/>
              </w:rPr>
              <w:t>截至报告期未，基地入驻签约主播数量。</w:t>
            </w:r>
            <w:r>
              <w:rPr>
                <w:rFonts w:hint="eastAsia" w:ascii="仿宋_GB2312" w:eastAsia="仿宋_GB2312" w:hAnsiTheme="minorEastAsia"/>
                <w:sz w:val="21"/>
                <w:szCs w:val="21"/>
                <w:lang w:val="en-US" w:eastAsia="zh-CN"/>
              </w:rPr>
              <w:t>10名以上得2分，</w:t>
            </w:r>
            <w:r>
              <w:rPr>
                <w:rFonts w:hint="default" w:ascii="仿宋_GB2312" w:eastAsia="仿宋_GB2312" w:hAnsiTheme="minorEastAsia"/>
                <w:sz w:val="21"/>
                <w:szCs w:val="21"/>
                <w:lang w:val="en-US" w:eastAsia="zh-CN"/>
              </w:rPr>
              <w:t>粉丝量50—100万，+0.5分/人，超过100万+1分/人，最高+2分。</w:t>
            </w:r>
          </w:p>
        </w:tc>
        <w:tc>
          <w:tcPr>
            <w:tcW w:w="31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提供入驻签约主播协议、主播名单等相关材料。</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restart"/>
            <w:vAlign w:val="center"/>
          </w:tcPr>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hint="eastAsia" w:ascii="华文细黑" w:hAnsi="华文细黑" w:eastAsia="华文细黑"/>
                <w:b/>
                <w:sz w:val="24"/>
                <w:szCs w:val="24"/>
              </w:rPr>
            </w:pPr>
            <w:r>
              <w:rPr>
                <w:rFonts w:hint="eastAsia" w:ascii="华文细黑" w:hAnsi="华文细黑" w:eastAsia="华文细黑"/>
                <w:b/>
                <w:sz w:val="24"/>
                <w:szCs w:val="24"/>
              </w:rPr>
              <w:t>示范</w:t>
            </w:r>
          </w:p>
          <w:p>
            <w:pPr>
              <w:spacing w:after="0" w:line="260" w:lineRule="exact"/>
              <w:contextualSpacing/>
              <w:jc w:val="center"/>
              <w:rPr>
                <w:rFonts w:ascii="华文细黑" w:hAnsi="华文细黑" w:eastAsia="华文细黑"/>
                <w:b/>
                <w:sz w:val="24"/>
                <w:szCs w:val="24"/>
              </w:rPr>
            </w:pPr>
            <w:r>
              <w:rPr>
                <w:rFonts w:hint="eastAsia" w:ascii="华文细黑" w:hAnsi="华文细黑" w:eastAsia="华文细黑"/>
                <w:b/>
                <w:sz w:val="24"/>
                <w:szCs w:val="24"/>
              </w:rPr>
              <w:t>能力</w:t>
            </w:r>
          </w:p>
          <w:p>
            <w:pPr>
              <w:spacing w:after="0" w:line="260" w:lineRule="exact"/>
              <w:contextualSpacing/>
              <w:jc w:val="center"/>
            </w:pPr>
            <w:r>
              <w:rPr>
                <w:rFonts w:hint="eastAsia" w:ascii="华文细黑" w:hAnsi="华文细黑" w:eastAsia="华文细黑"/>
                <w:b/>
                <w:sz w:val="24"/>
                <w:szCs w:val="24"/>
              </w:rPr>
              <w:t>（</w:t>
            </w:r>
            <w:r>
              <w:rPr>
                <w:rFonts w:hint="eastAsia" w:ascii="华文细黑" w:hAnsi="华文细黑" w:eastAsia="华文细黑"/>
                <w:b/>
                <w:sz w:val="24"/>
                <w:szCs w:val="24"/>
                <w:lang w:val="en-US" w:eastAsia="zh-CN"/>
              </w:rPr>
              <w:t>30</w:t>
            </w:r>
            <w:r>
              <w:rPr>
                <w:rFonts w:hint="eastAsia" w:ascii="华文细黑" w:hAnsi="华文细黑" w:eastAsia="华文细黑"/>
                <w:b/>
                <w:sz w:val="24"/>
                <w:szCs w:val="24"/>
              </w:rPr>
              <w:t>）</w:t>
            </w:r>
          </w:p>
        </w:tc>
        <w:tc>
          <w:tcPr>
            <w:tcW w:w="1025" w:type="dxa"/>
            <w:vMerge w:val="restart"/>
            <w:vAlign w:val="center"/>
          </w:tcPr>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hint="eastAsia" w:ascii="楷体" w:hAnsi="楷体" w:eastAsia="楷体"/>
                <w:sz w:val="24"/>
                <w:szCs w:val="24"/>
              </w:rPr>
            </w:pPr>
          </w:p>
          <w:p>
            <w:pPr>
              <w:spacing w:after="0" w:line="260" w:lineRule="exact"/>
              <w:contextualSpacing/>
              <w:jc w:val="center"/>
              <w:rPr>
                <w:rFonts w:ascii="楷体" w:hAnsi="楷体" w:eastAsia="楷体"/>
                <w:sz w:val="24"/>
                <w:szCs w:val="24"/>
              </w:rPr>
            </w:pPr>
            <w:r>
              <w:rPr>
                <w:rFonts w:hint="eastAsia" w:ascii="楷体" w:hAnsi="楷体" w:eastAsia="楷体"/>
                <w:sz w:val="24"/>
                <w:szCs w:val="24"/>
              </w:rPr>
              <w:t>发展速度与规模</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直播电商交易额</w:t>
            </w:r>
          </w:p>
          <w:p>
            <w:pPr>
              <w:spacing w:after="0" w:line="260" w:lineRule="exact"/>
              <w:contextualSpacing/>
              <w:jc w:val="center"/>
              <w:rPr>
                <w:rFonts w:asciiTheme="minorEastAsia" w:hAnsiTheme="minorEastAsia"/>
                <w:b/>
              </w:rPr>
            </w:pPr>
            <w:r>
              <w:rPr>
                <w:rFonts w:hint="eastAsia" w:asciiTheme="minorEastAsia" w:hAnsiTheme="minorEastAsia"/>
                <w:b/>
              </w:rPr>
              <w:t>（</w:t>
            </w:r>
            <w:r>
              <w:rPr>
                <w:rFonts w:hint="eastAsia" w:asciiTheme="minorEastAsia" w:hAnsiTheme="minorEastAsia"/>
                <w:b/>
                <w:lang w:val="en-US" w:eastAsia="zh-CN"/>
              </w:rPr>
              <w:t>8</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万元</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在报告期内，基地全体直播电商企业产生的直播电商交易总额。</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直播电商交易额构成明细，按企业统计。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直播电商企业营收总额（</w:t>
            </w:r>
            <w:r>
              <w:rPr>
                <w:rFonts w:hint="eastAsia" w:asciiTheme="minorEastAsia" w:hAnsiTheme="minorEastAsia"/>
                <w:b/>
                <w:lang w:val="en-US" w:eastAsia="zh-CN"/>
              </w:rPr>
              <w:t>8</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万元</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1.报告期内基地全体直播电商企业营业总收入。</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2.该营收应来源于基地直播电商企业进行的直播电商交易或提供的服务，而不应源于传统交易方式或其他非电商业务收入。</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3.营收额如果远高于交易额，视为电商服务企业占比大，需提供相应的证明。</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按企业统计。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直播电商企业缴税总额（</w:t>
            </w:r>
            <w:r>
              <w:rPr>
                <w:rFonts w:hint="eastAsia" w:asciiTheme="minorEastAsia" w:hAnsiTheme="minorEastAsia"/>
                <w:b/>
                <w:lang w:val="en-US" w:eastAsia="zh-CN"/>
              </w:rPr>
              <w:t>3</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万元</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报告期内基地全体直播电商企业缴税总额。直播电商企业缴税额指企业全年的应缴纳税总额，主要包括企业营业税、增值税、个人所得税、企业所得税、附加税等。</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按企业统计。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全体直播电商企业从业人数（3分）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人</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1.报告期末基地全体直播电商企业从业人员数量之和。</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企业从业人数统计口径：在本单位工作并取得劳动报酬或经营收入的实有人员数。从业人员还包括在各单位工作的外方人员和港澳台方人员、兼职人员、再就业的离退休人员、借用的外单位人员和第二职业者，但不包括离开本单位仍保留劳动关系的职工。</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全体直播电商企业从业人数，按企业统计，包括企业名称、地址、从业人数、负责人、联系方式。</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Align w:val="center"/>
          </w:tcPr>
          <w:p>
            <w:pPr>
              <w:spacing w:after="0" w:line="260" w:lineRule="exact"/>
              <w:contextualSpacing/>
              <w:jc w:val="center"/>
              <w:rPr>
                <w:rFonts w:hint="eastAsia" w:ascii="楷体" w:hAnsi="楷体" w:eastAsia="楷体"/>
                <w:sz w:val="24"/>
                <w:szCs w:val="24"/>
                <w:lang w:eastAsia="zh-CN"/>
              </w:rPr>
            </w:pPr>
            <w:r>
              <w:rPr>
                <w:rFonts w:hint="eastAsia" w:ascii="楷体" w:hAnsi="楷体" w:eastAsia="楷体"/>
                <w:sz w:val="24"/>
                <w:szCs w:val="24"/>
                <w:lang w:eastAsia="zh-CN"/>
              </w:rPr>
              <w:t>快递服务</w:t>
            </w:r>
          </w:p>
        </w:tc>
        <w:tc>
          <w:tcPr>
            <w:tcW w:w="2060" w:type="dxa"/>
            <w:vAlign w:val="center"/>
          </w:tcPr>
          <w:p>
            <w:pPr>
              <w:spacing w:after="0" w:line="260" w:lineRule="exact"/>
              <w:contextualSpacing/>
              <w:jc w:val="center"/>
              <w:rPr>
                <w:rFonts w:hint="eastAsia" w:asciiTheme="minorEastAsia" w:hAnsiTheme="minorEastAsia" w:eastAsiaTheme="minorEastAsia"/>
                <w:b/>
                <w:lang w:eastAsia="zh-CN"/>
              </w:rPr>
            </w:pPr>
            <w:r>
              <w:rPr>
                <w:rFonts w:hint="eastAsia" w:asciiTheme="minorEastAsia" w:hAnsiTheme="minorEastAsia"/>
                <w:b/>
                <w:lang w:eastAsia="zh-CN"/>
              </w:rPr>
              <w:t>快递成本降幅（</w:t>
            </w:r>
            <w:r>
              <w:rPr>
                <w:rFonts w:hint="eastAsia" w:asciiTheme="minorEastAsia" w:hAnsiTheme="minorEastAsia"/>
                <w:b/>
                <w:lang w:val="en-US" w:eastAsia="zh-CN"/>
              </w:rPr>
              <w:t>3分</w:t>
            </w:r>
            <w:r>
              <w:rPr>
                <w:rFonts w:hint="eastAsia" w:asciiTheme="minorEastAsia" w:hAnsiTheme="minorEastAsia"/>
                <w:b/>
                <w:lang w:eastAsia="zh-CN"/>
              </w:rPr>
              <w:t>）</w:t>
            </w:r>
          </w:p>
        </w:tc>
        <w:tc>
          <w:tcPr>
            <w:tcW w:w="434" w:type="dxa"/>
            <w:vAlign w:val="center"/>
          </w:tcPr>
          <w:p>
            <w:pPr>
              <w:spacing w:after="0" w:line="260" w:lineRule="exact"/>
              <w:contextualSpacing/>
              <w:jc w:val="center"/>
              <w:rPr>
                <w:rFonts w:hint="eastAsia" w:asciiTheme="minorEastAsia" w:hAnsiTheme="minorEastAsia" w:eastAsiaTheme="minorEastAsia"/>
                <w:b/>
                <w:sz w:val="18"/>
                <w:szCs w:val="18"/>
                <w:lang w:val="en-US" w:eastAsia="zh-CN"/>
              </w:rPr>
            </w:pPr>
            <w:r>
              <w:rPr>
                <w:rFonts w:hint="eastAsia" w:asciiTheme="minorEastAsia" w:hAnsiTheme="minorEastAsia"/>
                <w:b/>
                <w:sz w:val="18"/>
                <w:szCs w:val="18"/>
                <w:lang w:val="en-US" w:eastAsia="zh-CN"/>
              </w:rPr>
              <w:t>%</w:t>
            </w:r>
          </w:p>
        </w:tc>
        <w:tc>
          <w:tcPr>
            <w:tcW w:w="5437" w:type="dxa"/>
            <w:vAlign w:val="center"/>
          </w:tcPr>
          <w:p>
            <w:pPr>
              <w:spacing w:after="0" w:line="260" w:lineRule="exact"/>
              <w:contextualSpacing/>
              <w:rPr>
                <w:rFonts w:hint="default" w:ascii="仿宋_GB2312" w:eastAsia="仿宋_GB2312" w:hAnsiTheme="minorEastAsia"/>
                <w:sz w:val="21"/>
                <w:szCs w:val="21"/>
                <w:lang w:val="en-US" w:eastAsia="zh-CN"/>
              </w:rPr>
            </w:pPr>
            <w:r>
              <w:rPr>
                <w:rFonts w:hint="eastAsia" w:ascii="仿宋_GB2312" w:eastAsia="仿宋_GB2312" w:hAnsiTheme="minorEastAsia"/>
                <w:sz w:val="21"/>
                <w:szCs w:val="21"/>
                <w:lang w:eastAsia="zh-CN"/>
              </w:rPr>
              <w:t>基地内快递成本降低</w:t>
            </w:r>
            <w:r>
              <w:rPr>
                <w:rFonts w:hint="eastAsia" w:ascii="仿宋_GB2312" w:eastAsia="仿宋_GB2312" w:hAnsiTheme="minorEastAsia"/>
                <w:sz w:val="21"/>
                <w:szCs w:val="21"/>
                <w:lang w:val="en-US" w:eastAsia="zh-CN"/>
              </w:rPr>
              <w:t>2%以内得1分，2%-5%得2分，5%以上得满分。</w:t>
            </w:r>
          </w:p>
        </w:tc>
        <w:tc>
          <w:tcPr>
            <w:tcW w:w="31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相关佐证材料。</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1025" w:type="dxa"/>
            <w:vAlign w:val="center"/>
          </w:tcPr>
          <w:p>
            <w:pPr>
              <w:spacing w:after="0" w:line="260" w:lineRule="exact"/>
              <w:contextualSpacing/>
              <w:jc w:val="center"/>
              <w:rPr>
                <w:rFonts w:hint="eastAsia" w:ascii="楷体" w:hAnsi="楷体" w:eastAsia="楷体"/>
                <w:sz w:val="24"/>
                <w:szCs w:val="24"/>
                <w:lang w:eastAsia="zh-CN"/>
              </w:rPr>
            </w:pPr>
            <w:r>
              <w:rPr>
                <w:rFonts w:hint="eastAsia" w:ascii="楷体" w:hAnsi="楷体" w:eastAsia="楷体"/>
                <w:sz w:val="24"/>
                <w:szCs w:val="24"/>
                <w:lang w:eastAsia="zh-CN"/>
              </w:rPr>
              <w:t>绿色发展</w:t>
            </w:r>
          </w:p>
        </w:tc>
        <w:tc>
          <w:tcPr>
            <w:tcW w:w="2060" w:type="dxa"/>
            <w:vAlign w:val="center"/>
          </w:tcPr>
          <w:p>
            <w:pPr>
              <w:spacing w:after="0" w:line="260" w:lineRule="exact"/>
              <w:contextualSpacing/>
              <w:jc w:val="center"/>
              <w:rPr>
                <w:rFonts w:hint="eastAsia" w:asciiTheme="minorEastAsia" w:hAnsiTheme="minorEastAsia" w:eastAsiaTheme="minorEastAsia"/>
                <w:b/>
                <w:lang w:eastAsia="zh-CN"/>
              </w:rPr>
            </w:pPr>
            <w:r>
              <w:rPr>
                <w:rFonts w:hint="eastAsia" w:asciiTheme="minorEastAsia" w:hAnsiTheme="minorEastAsia"/>
                <w:b/>
                <w:lang w:eastAsia="zh-CN"/>
              </w:rPr>
              <w:t>绿色包装占比（</w:t>
            </w:r>
            <w:r>
              <w:rPr>
                <w:rFonts w:hint="eastAsia" w:asciiTheme="minorEastAsia" w:hAnsiTheme="minorEastAsia"/>
                <w:b/>
                <w:lang w:val="en-US" w:eastAsia="zh-CN"/>
              </w:rPr>
              <w:t>2分</w:t>
            </w:r>
            <w:r>
              <w:rPr>
                <w:rFonts w:hint="eastAsia" w:asciiTheme="minorEastAsia" w:hAnsiTheme="minorEastAsia"/>
                <w:b/>
                <w:lang w:eastAsia="zh-CN"/>
              </w:rPr>
              <w:t>）</w:t>
            </w:r>
          </w:p>
        </w:tc>
        <w:tc>
          <w:tcPr>
            <w:tcW w:w="434" w:type="dxa"/>
            <w:vAlign w:val="center"/>
          </w:tcPr>
          <w:p>
            <w:pPr>
              <w:spacing w:after="0" w:line="260" w:lineRule="exact"/>
              <w:contextualSpacing/>
              <w:jc w:val="center"/>
              <w:rPr>
                <w:rFonts w:hint="eastAsia" w:asciiTheme="minorEastAsia" w:hAnsiTheme="minorEastAsia" w:eastAsiaTheme="minorEastAsia"/>
                <w:b/>
                <w:sz w:val="18"/>
                <w:szCs w:val="18"/>
                <w:lang w:val="en-US" w:eastAsia="zh-CN"/>
              </w:rPr>
            </w:pPr>
            <w:r>
              <w:rPr>
                <w:rFonts w:hint="eastAsia" w:asciiTheme="minorEastAsia" w:hAnsiTheme="minorEastAsia"/>
                <w:b/>
                <w:sz w:val="18"/>
                <w:szCs w:val="18"/>
                <w:lang w:val="en-US" w:eastAsia="zh-CN"/>
              </w:rPr>
              <w:t>%</w:t>
            </w:r>
          </w:p>
        </w:tc>
        <w:tc>
          <w:tcPr>
            <w:tcW w:w="5437" w:type="dxa"/>
            <w:vAlign w:val="center"/>
          </w:tcPr>
          <w:p>
            <w:pPr>
              <w:spacing w:after="0" w:line="260" w:lineRule="exact"/>
              <w:contextualSpacing/>
              <w:rPr>
                <w:rFonts w:hint="default" w:ascii="仿宋_GB2312" w:eastAsia="仿宋_GB2312" w:hAnsiTheme="minorEastAsia"/>
                <w:sz w:val="21"/>
                <w:szCs w:val="21"/>
                <w:lang w:val="en-US" w:eastAsia="zh-CN"/>
              </w:rPr>
            </w:pPr>
            <w:r>
              <w:rPr>
                <w:rFonts w:hint="eastAsia" w:ascii="仿宋_GB2312" w:eastAsia="仿宋_GB2312" w:hAnsiTheme="minorEastAsia"/>
                <w:sz w:val="21"/>
                <w:szCs w:val="21"/>
                <w:lang w:eastAsia="zh-CN"/>
              </w:rPr>
              <w:t>基地内使用可降解、可回收包装的比例，</w:t>
            </w:r>
            <w:r>
              <w:rPr>
                <w:rFonts w:hint="eastAsia" w:ascii="仿宋_GB2312" w:eastAsia="仿宋_GB2312" w:hAnsiTheme="minorEastAsia"/>
                <w:sz w:val="21"/>
                <w:szCs w:val="21"/>
                <w:lang w:val="en-US" w:eastAsia="zh-CN"/>
              </w:rPr>
              <w:t>5%以内得1分。5%-10%得2分，10%以上得满分。</w:t>
            </w:r>
          </w:p>
        </w:tc>
        <w:tc>
          <w:tcPr>
            <w:tcW w:w="31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绿色包装使用情况证明文件。</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63" w:type="dxa"/>
            <w:vMerge w:val="continue"/>
            <w:vAlign w:val="center"/>
          </w:tcPr>
          <w:p>
            <w:pPr>
              <w:spacing w:after="0" w:line="260" w:lineRule="exact"/>
              <w:contextualSpacing/>
              <w:jc w:val="center"/>
            </w:pPr>
          </w:p>
        </w:tc>
        <w:tc>
          <w:tcPr>
            <w:tcW w:w="3085" w:type="dxa"/>
            <w:gridSpan w:val="2"/>
            <w:vAlign w:val="center"/>
          </w:tcPr>
          <w:p>
            <w:pPr>
              <w:spacing w:after="0" w:line="260" w:lineRule="exact"/>
              <w:contextualSpacing/>
              <w:jc w:val="center"/>
              <w:rPr>
                <w:rFonts w:hint="eastAsia" w:asciiTheme="minorEastAsia" w:hAnsiTheme="minorEastAsia"/>
                <w:b/>
                <w:lang w:eastAsia="zh-CN"/>
              </w:rPr>
            </w:pPr>
            <w:r>
              <w:rPr>
                <w:rFonts w:hint="eastAsia" w:asciiTheme="minorEastAsia" w:hAnsiTheme="minorEastAsia"/>
                <w:b/>
                <w:lang w:eastAsia="zh-CN"/>
              </w:rPr>
              <w:t>参与促销活动情况（</w:t>
            </w:r>
            <w:r>
              <w:rPr>
                <w:rFonts w:hint="eastAsia" w:asciiTheme="minorEastAsia" w:hAnsiTheme="minorEastAsia"/>
                <w:b/>
                <w:lang w:val="en-US" w:eastAsia="zh-CN"/>
              </w:rPr>
              <w:t>3分</w:t>
            </w:r>
            <w:r>
              <w:rPr>
                <w:rFonts w:hint="eastAsia" w:asciiTheme="minorEastAsia" w:hAnsiTheme="minorEastAsia"/>
                <w:b/>
                <w:lang w:eastAsia="zh-CN"/>
              </w:rPr>
              <w:t>）</w:t>
            </w:r>
          </w:p>
        </w:tc>
        <w:tc>
          <w:tcPr>
            <w:tcW w:w="434" w:type="dxa"/>
            <w:vAlign w:val="center"/>
          </w:tcPr>
          <w:p>
            <w:pPr>
              <w:spacing w:after="0" w:line="260" w:lineRule="exact"/>
              <w:contextualSpacing/>
              <w:jc w:val="center"/>
              <w:rPr>
                <w:rFonts w:hint="eastAsia" w:asciiTheme="minorEastAsia" w:hAnsiTheme="minorEastAsia" w:eastAsiaTheme="minorEastAsia"/>
                <w:b/>
                <w:sz w:val="18"/>
                <w:szCs w:val="18"/>
                <w:lang w:eastAsia="zh-CN"/>
              </w:rPr>
            </w:pPr>
            <w:r>
              <w:rPr>
                <w:rFonts w:hint="eastAsia" w:asciiTheme="minorEastAsia" w:hAnsiTheme="minorEastAsia"/>
                <w:b/>
                <w:sz w:val="18"/>
                <w:szCs w:val="18"/>
                <w:lang w:eastAsia="zh-CN"/>
              </w:rPr>
              <w:t>场</w:t>
            </w:r>
          </w:p>
        </w:tc>
        <w:tc>
          <w:tcPr>
            <w:tcW w:w="54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是否组织基地内企业参与网络促消费活动，拓宽企业营销。</w:t>
            </w:r>
          </w:p>
        </w:tc>
        <w:tc>
          <w:tcPr>
            <w:tcW w:w="31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lang w:eastAsia="zh-CN"/>
              </w:rPr>
              <w:t>相关佐证材料，活动方案，活动成果等。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963" w:type="dxa"/>
            <w:vMerge w:val="restart"/>
            <w:vAlign w:val="center"/>
          </w:tcPr>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after="0" w:line="260" w:lineRule="exact"/>
              <w:contextualSpacing/>
              <w:jc w:val="center"/>
              <w:rPr>
                <w:rFonts w:ascii="华文细黑" w:hAnsi="华文细黑" w:eastAsia="华文细黑"/>
                <w:b/>
                <w:sz w:val="24"/>
                <w:szCs w:val="24"/>
              </w:rPr>
            </w:pPr>
          </w:p>
          <w:p>
            <w:pPr>
              <w:spacing w:line="260" w:lineRule="exact"/>
              <w:contextualSpacing/>
              <w:jc w:val="center"/>
              <w:rPr>
                <w:rFonts w:hint="eastAsia" w:ascii="华文细黑" w:hAnsi="华文细黑" w:eastAsia="华文细黑"/>
                <w:b/>
                <w:sz w:val="24"/>
                <w:szCs w:val="24"/>
              </w:rPr>
            </w:pPr>
            <w:r>
              <w:rPr>
                <w:rFonts w:hint="eastAsia" w:ascii="华文细黑" w:hAnsi="华文细黑" w:eastAsia="华文细黑"/>
                <w:b/>
                <w:sz w:val="24"/>
                <w:szCs w:val="24"/>
              </w:rPr>
              <w:t>服务</w:t>
            </w:r>
          </w:p>
          <w:p>
            <w:pPr>
              <w:spacing w:line="260" w:lineRule="exact"/>
              <w:contextualSpacing/>
              <w:jc w:val="center"/>
              <w:rPr>
                <w:rFonts w:ascii="华文细黑" w:hAnsi="华文细黑" w:eastAsia="华文细黑"/>
                <w:b/>
                <w:sz w:val="24"/>
                <w:szCs w:val="24"/>
              </w:rPr>
            </w:pPr>
            <w:r>
              <w:rPr>
                <w:rFonts w:hint="eastAsia" w:ascii="华文细黑" w:hAnsi="华文细黑" w:eastAsia="华文细黑"/>
                <w:b/>
                <w:sz w:val="24"/>
                <w:szCs w:val="24"/>
              </w:rPr>
              <w:t>能力</w:t>
            </w:r>
          </w:p>
          <w:p>
            <w:pPr>
              <w:spacing w:line="260" w:lineRule="exact"/>
              <w:contextualSpacing/>
              <w:jc w:val="center"/>
              <w:rPr>
                <w:rFonts w:ascii="华文细黑" w:hAnsi="华文细黑" w:eastAsia="华文细黑"/>
                <w:b/>
                <w:sz w:val="24"/>
                <w:szCs w:val="24"/>
              </w:rPr>
            </w:pPr>
            <w:r>
              <w:rPr>
                <w:rFonts w:hint="eastAsia" w:ascii="华文细黑" w:hAnsi="华文细黑" w:eastAsia="华文细黑"/>
                <w:b/>
                <w:sz w:val="24"/>
                <w:szCs w:val="24"/>
              </w:rPr>
              <w:t>（4</w:t>
            </w:r>
            <w:r>
              <w:rPr>
                <w:rFonts w:hint="eastAsia" w:ascii="华文细黑" w:hAnsi="华文细黑" w:eastAsia="华文细黑"/>
                <w:b/>
                <w:sz w:val="24"/>
                <w:szCs w:val="24"/>
                <w:lang w:val="en-US" w:eastAsia="zh-CN"/>
              </w:rPr>
              <w:t>0</w:t>
            </w:r>
            <w:r>
              <w:rPr>
                <w:rFonts w:hint="eastAsia" w:ascii="华文细黑" w:hAnsi="华文细黑" w:eastAsia="华文细黑"/>
                <w:b/>
                <w:sz w:val="24"/>
                <w:szCs w:val="24"/>
              </w:rPr>
              <w:t>）</w:t>
            </w: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公共服务</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lang w:eastAsia="zh-CN"/>
              </w:rPr>
              <w:t>直播电商服务能力</w:t>
            </w:r>
            <w:r>
              <w:rPr>
                <w:rFonts w:hint="eastAsia" w:asciiTheme="minorEastAsia" w:hAnsiTheme="minorEastAsia"/>
                <w:b/>
              </w:rPr>
              <w:t>（6分）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lang w:eastAsia="zh-CN"/>
              </w:rPr>
              <w:t>重点评价仓储、分拣、包装、物流以及配套服务能力；评价提供美工、文案、直播、营销推广和品牌打造等服务能力。</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各项服务提供机构、方式、相关管理规范文件等。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63" w:type="dxa"/>
            <w:vMerge w:val="continue"/>
            <w:vAlign w:val="center"/>
          </w:tcPr>
          <w:p>
            <w:pPr>
              <w:spacing w:line="260" w:lineRule="exact"/>
              <w:contextualSpacing/>
              <w:jc w:val="center"/>
              <w:rPr>
                <w:rFonts w:ascii="华文细黑" w:hAnsi="华文细黑" w:eastAsia="华文细黑"/>
                <w:b/>
                <w:sz w:val="24"/>
                <w:szCs w:val="24"/>
              </w:rP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行政服务（3分）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基地是否为入驻企业提供工商注册、年审年检、税务登记、项目申报等便利服务。</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各项服务提供机构、方式、相关管理规范文件等。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963" w:type="dxa"/>
            <w:vMerge w:val="continue"/>
            <w:vAlign w:val="center"/>
          </w:tcPr>
          <w:p>
            <w:pPr>
              <w:spacing w:after="0" w:line="260" w:lineRule="exact"/>
              <w:contextualSpacing/>
              <w:jc w:val="center"/>
              <w:rPr>
                <w:rFonts w:ascii="华文细黑" w:hAnsi="华文细黑" w:eastAsia="华文细黑"/>
                <w:b/>
              </w:rPr>
            </w:pP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金融服务</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面向入驻直播电商企业的投资基金</w:t>
            </w:r>
          </w:p>
          <w:p>
            <w:pPr>
              <w:spacing w:after="0" w:line="260" w:lineRule="exact"/>
              <w:contextualSpacing/>
              <w:jc w:val="center"/>
              <w:rPr>
                <w:rFonts w:asciiTheme="minorEastAsia" w:hAnsiTheme="minorEastAsia"/>
                <w:b/>
              </w:rPr>
            </w:pPr>
            <w:r>
              <w:rPr>
                <w:rFonts w:hint="eastAsia" w:asciiTheme="minorEastAsia" w:hAnsiTheme="minorEastAsia"/>
                <w:b/>
              </w:rPr>
              <w:t>额度（</w:t>
            </w:r>
            <w:r>
              <w:rPr>
                <w:rFonts w:asciiTheme="minorEastAsia" w:hAnsiTheme="minorEastAsia"/>
                <w:b/>
              </w:rPr>
              <w:t>1</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万元</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1.截至报告期末，基地自主或联合社会资本设立面向入驻直播电商企业的投资引导基金额度。</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2.聚焦于</w:t>
            </w:r>
            <w:r>
              <w:rPr>
                <w:rFonts w:hint="eastAsia" w:ascii="仿宋_GB2312" w:eastAsia="仿宋_GB2312" w:hAnsiTheme="minorEastAsia"/>
                <w:sz w:val="21"/>
                <w:szCs w:val="21"/>
                <w:lang w:eastAsia="zh-CN"/>
              </w:rPr>
              <w:t>直播</w:t>
            </w:r>
            <w:r>
              <w:rPr>
                <w:rFonts w:hint="eastAsia" w:ascii="仿宋_GB2312" w:eastAsia="仿宋_GB2312" w:hAnsiTheme="minorEastAsia"/>
                <w:sz w:val="21"/>
                <w:szCs w:val="21"/>
              </w:rPr>
              <w:t>电商领域的投资基金额度，而非其他产业。</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基金设立、注册及相关证明材料。</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获得基地金融服务的直播电商企业</w:t>
            </w:r>
          </w:p>
          <w:p>
            <w:pPr>
              <w:spacing w:after="0" w:line="260" w:lineRule="exact"/>
              <w:contextualSpacing/>
              <w:jc w:val="center"/>
              <w:rPr>
                <w:rFonts w:asciiTheme="minorEastAsia" w:hAnsiTheme="minorEastAsia"/>
                <w:b/>
              </w:rPr>
            </w:pPr>
            <w:r>
              <w:rPr>
                <w:rFonts w:hint="eastAsia" w:asciiTheme="minorEastAsia" w:hAnsiTheme="minorEastAsia"/>
                <w:b/>
              </w:rPr>
              <w:t>数量（</w:t>
            </w:r>
            <w:r>
              <w:rPr>
                <w:rFonts w:asciiTheme="minorEastAsia" w:hAnsiTheme="minorEastAsia"/>
                <w:b/>
              </w:rPr>
              <w:t>1</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个</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报告期内获得基地金融服务的直播电商企业数量，包括但不限于股权投资、借贷服务等。</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企业名单，列明以下内容：企业名称、企业法人、联系方式、主营业务。</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直播电商企业获得投融资总额（</w:t>
            </w:r>
            <w:r>
              <w:rPr>
                <w:rFonts w:asciiTheme="minorEastAsia" w:hAnsiTheme="minorEastAsia"/>
                <w:b/>
              </w:rPr>
              <w:t>1</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万元</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报告期内基地直播电商企业通过基地设立的投资基金或基地引荐的方式获得的投融资总额。</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融资明细，列明以下内容：获得融资企业名单（企业名称、企业法人、联系方式、主营业务）、各企业融资金额、资金来源、融资类型；可以与指标“获得基地金融服务的直播电商企业数量”的证明材料共用表格。</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963" w:type="dxa"/>
            <w:vMerge w:val="continue"/>
            <w:vAlign w:val="center"/>
          </w:tcPr>
          <w:p>
            <w:pPr>
              <w:spacing w:after="0" w:line="260" w:lineRule="exact"/>
              <w:contextualSpacing/>
              <w:jc w:val="center"/>
            </w:pPr>
          </w:p>
        </w:tc>
        <w:tc>
          <w:tcPr>
            <w:tcW w:w="1025" w:type="dxa"/>
            <w:vMerge w:val="restart"/>
            <w:vAlign w:val="center"/>
          </w:tcPr>
          <w:p>
            <w:pPr>
              <w:spacing w:after="0" w:line="260" w:lineRule="exact"/>
              <w:contextualSpacing/>
              <w:rPr>
                <w:rFonts w:ascii="楷体" w:hAnsi="楷体" w:eastAsia="楷体"/>
                <w:sz w:val="24"/>
                <w:szCs w:val="24"/>
              </w:rPr>
            </w:pPr>
            <w:r>
              <w:rPr>
                <w:rFonts w:hint="eastAsia" w:ascii="楷体" w:hAnsi="楷体" w:eastAsia="楷体"/>
                <w:sz w:val="24"/>
                <w:szCs w:val="24"/>
              </w:rPr>
              <w:t>人才服务</w:t>
            </w: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直播电商人才引进与培养政策（</w:t>
            </w:r>
            <w:r>
              <w:rPr>
                <w:rFonts w:hint="eastAsia" w:asciiTheme="minorEastAsia" w:hAnsiTheme="minorEastAsia"/>
                <w:b/>
                <w:lang w:val="en-US" w:eastAsia="zh-CN"/>
              </w:rPr>
              <w:t>3</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截至报告期末，基地所在区是否设立或实施区域性的直播电商人才引进政策；是否设立或实施区域性的直播电商人才培养政策。</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政策文件名称、复印件。</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年度直播电商培训人次（</w:t>
            </w:r>
            <w:r>
              <w:rPr>
                <w:rFonts w:asciiTheme="minorEastAsia" w:hAnsiTheme="minorEastAsia"/>
                <w:b/>
              </w:rPr>
              <w:t>4</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人次</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1.报告期内，基地组织的直播电商培训总人次数。</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2.其他领域培训不计入在内。</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明细列表，包括培训班或培训活动主题、日期、培训人数、培训照片、批准文件等。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63" w:type="dxa"/>
            <w:vMerge w:val="continue"/>
            <w:vAlign w:val="center"/>
          </w:tcPr>
          <w:p>
            <w:pPr>
              <w:spacing w:after="0" w:line="260" w:lineRule="exact"/>
              <w:contextualSpacing/>
              <w:jc w:val="center"/>
            </w:pP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孵化服务</w:t>
            </w:r>
          </w:p>
          <w:p>
            <w:pPr>
              <w:spacing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在孵直播电商企业数量（</w:t>
            </w:r>
            <w:r>
              <w:rPr>
                <w:rFonts w:hint="eastAsia" w:asciiTheme="minorEastAsia" w:hAnsiTheme="minorEastAsia"/>
                <w:b/>
                <w:lang w:val="en-US" w:eastAsia="zh-CN"/>
              </w:rPr>
              <w:t>5</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个</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报告期末基地孵化器内在孵直播电商企业数量。</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在孵企业名单，包括企业名称、办公地址、入驻时间等。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lang w:eastAsia="zh-CN"/>
              </w:rPr>
              <w:t>直播电商</w:t>
            </w:r>
            <w:r>
              <w:rPr>
                <w:rFonts w:hint="eastAsia" w:asciiTheme="minorEastAsia" w:hAnsiTheme="minorEastAsia"/>
                <w:b/>
              </w:rPr>
              <w:t>企业孵化</w:t>
            </w:r>
          </w:p>
          <w:p>
            <w:pPr>
              <w:spacing w:after="0" w:line="260" w:lineRule="exact"/>
              <w:contextualSpacing/>
              <w:jc w:val="center"/>
              <w:rPr>
                <w:rFonts w:asciiTheme="minorEastAsia" w:hAnsiTheme="minorEastAsia"/>
                <w:b/>
              </w:rPr>
            </w:pPr>
            <w:r>
              <w:rPr>
                <w:rFonts w:hint="eastAsia" w:asciiTheme="minorEastAsia" w:hAnsiTheme="minorEastAsia"/>
                <w:b/>
              </w:rPr>
              <w:t>成功率（</w:t>
            </w:r>
            <w:r>
              <w:rPr>
                <w:rFonts w:hint="eastAsia" w:asciiTheme="minorEastAsia" w:hAnsiTheme="minorEastAsia"/>
                <w:b/>
                <w:lang w:val="en-US" w:eastAsia="zh-CN"/>
              </w:rPr>
              <w:t>3</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asciiTheme="minorEastAsia" w:hAnsiTheme="minorEastAsia"/>
                <w:b/>
                <w:sz w:val="18"/>
                <w:szCs w:val="18"/>
              </w:rPr>
              <w:t>%</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1.计算公式：报告期内孵化毕业</w:t>
            </w:r>
            <w:r>
              <w:rPr>
                <w:rFonts w:hint="eastAsia" w:ascii="仿宋_GB2312" w:eastAsia="仿宋_GB2312" w:hAnsiTheme="minorEastAsia"/>
                <w:sz w:val="21"/>
                <w:szCs w:val="21"/>
                <w:lang w:eastAsia="zh-CN"/>
              </w:rPr>
              <w:t>直播电商</w:t>
            </w:r>
            <w:r>
              <w:rPr>
                <w:rFonts w:hint="eastAsia" w:ascii="仿宋_GB2312" w:eastAsia="仿宋_GB2312" w:hAnsiTheme="minorEastAsia"/>
                <w:sz w:val="21"/>
                <w:szCs w:val="21"/>
              </w:rPr>
              <w:t>企业数/（报告期末在孵</w:t>
            </w:r>
            <w:r>
              <w:rPr>
                <w:rFonts w:hint="eastAsia" w:ascii="仿宋_GB2312" w:eastAsia="仿宋_GB2312" w:hAnsiTheme="minorEastAsia"/>
                <w:sz w:val="21"/>
                <w:szCs w:val="21"/>
                <w:lang w:eastAsia="zh-CN"/>
              </w:rPr>
              <w:t>直播电商</w:t>
            </w:r>
            <w:r>
              <w:rPr>
                <w:rFonts w:hint="eastAsia" w:ascii="仿宋_GB2312" w:eastAsia="仿宋_GB2312" w:hAnsiTheme="minorEastAsia"/>
                <w:sz w:val="21"/>
                <w:szCs w:val="21"/>
              </w:rPr>
              <w:t>企业数+报告期内孵化毕业企业数）×100%。</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2.该指标如果填报100%，“在孵直播电商企业数量”应为0。</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孵化毕业企业名单，包括企业名称、企业法人、联系方式、主营业务、营业地址。</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963" w:type="dxa"/>
            <w:vMerge w:val="continue"/>
            <w:tcBorders>
              <w:bottom w:val="single" w:color="auto" w:sz="4" w:space="0"/>
            </w:tcBorders>
            <w:vAlign w:val="center"/>
          </w:tcPr>
          <w:p>
            <w:pPr>
              <w:spacing w:after="0" w:line="260" w:lineRule="exact"/>
              <w:contextualSpacing/>
              <w:jc w:val="center"/>
            </w:pPr>
          </w:p>
        </w:tc>
        <w:tc>
          <w:tcPr>
            <w:tcW w:w="1025" w:type="dxa"/>
            <w:vMerge w:val="continue"/>
            <w:tcBorders>
              <w:bottom w:val="single" w:color="auto" w:sz="4" w:space="0"/>
            </w:tcBorders>
            <w:vAlign w:val="center"/>
          </w:tcPr>
          <w:p>
            <w:pPr>
              <w:spacing w:line="260" w:lineRule="exact"/>
              <w:contextualSpacing/>
              <w:jc w:val="center"/>
              <w:rPr>
                <w:rFonts w:ascii="楷体" w:hAnsi="楷体" w:eastAsia="楷体"/>
                <w:sz w:val="24"/>
                <w:szCs w:val="24"/>
              </w:rPr>
            </w:pPr>
          </w:p>
        </w:tc>
        <w:tc>
          <w:tcPr>
            <w:tcW w:w="2060" w:type="dxa"/>
            <w:tcBorders>
              <w:bottom w:val="single" w:color="auto" w:sz="4" w:space="0"/>
            </w:tcBorders>
            <w:vAlign w:val="center"/>
          </w:tcPr>
          <w:p>
            <w:pPr>
              <w:spacing w:line="260" w:lineRule="exact"/>
              <w:contextualSpacing/>
              <w:jc w:val="center"/>
              <w:rPr>
                <w:rFonts w:asciiTheme="minorEastAsia" w:hAnsiTheme="minorEastAsia"/>
                <w:b/>
              </w:rPr>
            </w:pPr>
            <w:r>
              <w:rPr>
                <w:rFonts w:hint="eastAsia" w:asciiTheme="minorEastAsia" w:hAnsiTheme="minorEastAsia"/>
                <w:b/>
              </w:rPr>
              <w:t>创建商标品牌数</w:t>
            </w:r>
          </w:p>
          <w:p>
            <w:pPr>
              <w:spacing w:line="260" w:lineRule="exact"/>
              <w:contextualSpacing/>
              <w:jc w:val="center"/>
              <w:rPr>
                <w:rFonts w:asciiTheme="minorEastAsia" w:hAnsiTheme="minorEastAsia"/>
                <w:b/>
              </w:rPr>
            </w:pPr>
            <w:r>
              <w:rPr>
                <w:rFonts w:hint="eastAsia" w:asciiTheme="minorEastAsia" w:hAnsiTheme="minorEastAsia"/>
                <w:b/>
              </w:rPr>
              <w:t>（</w:t>
            </w:r>
            <w:r>
              <w:rPr>
                <w:rFonts w:hint="eastAsia" w:asciiTheme="minorEastAsia" w:hAnsiTheme="minorEastAsia"/>
                <w:b/>
                <w:lang w:val="en-US" w:eastAsia="zh-CN"/>
              </w:rPr>
              <w:t>5</w:t>
            </w:r>
            <w:r>
              <w:rPr>
                <w:rFonts w:hint="eastAsia" w:asciiTheme="minorEastAsia" w:hAnsiTheme="minorEastAsia"/>
                <w:b/>
              </w:rPr>
              <w:t>分）</w:t>
            </w:r>
          </w:p>
        </w:tc>
        <w:tc>
          <w:tcPr>
            <w:tcW w:w="434" w:type="dxa"/>
            <w:tcBorders>
              <w:bottom w:val="single" w:color="auto" w:sz="4" w:space="0"/>
            </w:tcBorders>
            <w:vAlign w:val="center"/>
          </w:tcPr>
          <w:p>
            <w:pPr>
              <w:spacing w:line="260" w:lineRule="exact"/>
              <w:contextualSpacing/>
              <w:jc w:val="center"/>
              <w:rPr>
                <w:rFonts w:asciiTheme="minorEastAsia" w:hAnsiTheme="minorEastAsia"/>
                <w:b/>
                <w:sz w:val="18"/>
                <w:szCs w:val="18"/>
              </w:rPr>
            </w:pPr>
            <w:r>
              <w:rPr>
                <w:rFonts w:hint="eastAsia" w:asciiTheme="minorEastAsia" w:hAnsiTheme="minorEastAsia"/>
                <w:b/>
                <w:sz w:val="18"/>
                <w:szCs w:val="18"/>
              </w:rPr>
              <w:t>个</w:t>
            </w:r>
          </w:p>
          <w:p>
            <w:pPr>
              <w:spacing w:line="260" w:lineRule="exact"/>
              <w:contextualSpacing/>
              <w:jc w:val="center"/>
              <w:rPr>
                <w:rFonts w:asciiTheme="minorEastAsia" w:hAnsiTheme="minorEastAsia"/>
                <w:b/>
                <w:sz w:val="18"/>
                <w:szCs w:val="18"/>
              </w:rPr>
            </w:pPr>
          </w:p>
        </w:tc>
        <w:tc>
          <w:tcPr>
            <w:tcW w:w="5437" w:type="dxa"/>
            <w:tcBorders>
              <w:bottom w:val="single" w:color="auto" w:sz="4" w:space="0"/>
            </w:tcBorders>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1.基地内直播电商企业注册的商标、产品品牌或服务品牌数量，以及其中开展网络销售的农产品品牌数量。</w:t>
            </w:r>
          </w:p>
          <w:p>
            <w:pPr>
              <w:spacing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2.该商标品牌的创建应直接来源于企业直播电商交易或服务经营活动。</w:t>
            </w:r>
          </w:p>
        </w:tc>
        <w:tc>
          <w:tcPr>
            <w:tcW w:w="3137" w:type="dxa"/>
            <w:tcBorders>
              <w:bottom w:val="single" w:color="auto" w:sz="4" w:space="0"/>
            </w:tcBorders>
            <w:vAlign w:val="center"/>
          </w:tcPr>
          <w:p>
            <w:pPr>
              <w:spacing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商标图形、商标名称、注册号、登记日期、有效期限等。</w:t>
            </w:r>
          </w:p>
        </w:tc>
        <w:tc>
          <w:tcPr>
            <w:tcW w:w="1118" w:type="dxa"/>
            <w:tcBorders>
              <w:bottom w:val="single" w:color="auto" w:sz="4" w:space="0"/>
            </w:tcBorders>
            <w:vAlign w:val="center"/>
          </w:tcPr>
          <w:p>
            <w:pPr>
              <w:spacing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63" w:type="dxa"/>
            <w:vMerge w:val="continue"/>
            <w:vAlign w:val="center"/>
          </w:tcPr>
          <w:p>
            <w:pPr>
              <w:spacing w:after="0" w:line="260" w:lineRule="exact"/>
              <w:contextualSpacing/>
              <w:jc w:val="center"/>
            </w:pPr>
          </w:p>
        </w:tc>
        <w:tc>
          <w:tcPr>
            <w:tcW w:w="1025" w:type="dxa"/>
            <w:vMerge w:val="restart"/>
            <w:vAlign w:val="center"/>
          </w:tcPr>
          <w:p>
            <w:pPr>
              <w:spacing w:after="0" w:line="260" w:lineRule="exact"/>
              <w:contextualSpacing/>
              <w:jc w:val="center"/>
              <w:rPr>
                <w:rFonts w:ascii="楷体" w:hAnsi="楷体" w:eastAsia="楷体"/>
                <w:sz w:val="24"/>
                <w:szCs w:val="24"/>
              </w:rPr>
            </w:pPr>
            <w:r>
              <w:rPr>
                <w:rFonts w:hint="eastAsia" w:ascii="楷体" w:hAnsi="楷体" w:eastAsia="楷体"/>
                <w:sz w:val="24"/>
                <w:szCs w:val="24"/>
              </w:rPr>
              <w:t>环境营造</w:t>
            </w:r>
          </w:p>
        </w:tc>
        <w:tc>
          <w:tcPr>
            <w:tcW w:w="2060" w:type="dxa"/>
            <w:vAlign w:val="center"/>
          </w:tcPr>
          <w:p>
            <w:pPr>
              <w:spacing w:line="260" w:lineRule="exact"/>
              <w:contextualSpacing/>
              <w:jc w:val="center"/>
              <w:rPr>
                <w:rFonts w:asciiTheme="minorEastAsia" w:hAnsiTheme="minorEastAsia"/>
                <w:b/>
              </w:rPr>
            </w:pPr>
            <w:r>
              <w:rPr>
                <w:rFonts w:hint="eastAsia" w:asciiTheme="minorEastAsia" w:hAnsiTheme="minorEastAsia"/>
                <w:b/>
              </w:rPr>
              <w:t>统计监测（2分）</w:t>
            </w:r>
          </w:p>
        </w:tc>
        <w:tc>
          <w:tcPr>
            <w:tcW w:w="434" w:type="dxa"/>
            <w:vAlign w:val="center"/>
          </w:tcPr>
          <w:p>
            <w:pPr>
              <w:spacing w:line="260" w:lineRule="exact"/>
              <w:contextualSpacing/>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line="260" w:lineRule="exact"/>
              <w:contextualSpacing/>
              <w:rPr>
                <w:rFonts w:hint="eastAsia" w:ascii="仿宋_GB2312" w:eastAsia="仿宋_GB2312" w:hAnsiTheme="minorEastAsia"/>
                <w:sz w:val="21"/>
                <w:szCs w:val="21"/>
                <w:lang w:eastAsia="zh-CN"/>
              </w:rPr>
            </w:pPr>
            <w:r>
              <w:rPr>
                <w:rFonts w:hint="eastAsia" w:ascii="仿宋_GB2312" w:eastAsia="仿宋_GB2312" w:hAnsiTheme="minorEastAsia"/>
                <w:sz w:val="21"/>
                <w:szCs w:val="21"/>
              </w:rPr>
              <w:t>截至报告期末，基地是否开展直播电商统计监测工作</w:t>
            </w:r>
            <w:r>
              <w:rPr>
                <w:rFonts w:hint="eastAsia" w:ascii="仿宋_GB2312" w:eastAsia="仿宋_GB2312" w:hAnsiTheme="minorEastAsia"/>
                <w:sz w:val="21"/>
                <w:szCs w:val="21"/>
                <w:lang w:eastAsia="zh-CN"/>
              </w:rPr>
              <w:t>。</w:t>
            </w:r>
          </w:p>
        </w:tc>
        <w:tc>
          <w:tcPr>
            <w:tcW w:w="3137" w:type="dxa"/>
            <w:vAlign w:val="center"/>
          </w:tcPr>
          <w:p>
            <w:pPr>
              <w:spacing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实施直播电商统计监测的制度、方案相关文件及表格等。</w:t>
            </w:r>
          </w:p>
        </w:tc>
        <w:tc>
          <w:tcPr>
            <w:tcW w:w="1118" w:type="dxa"/>
            <w:vAlign w:val="center"/>
          </w:tcPr>
          <w:p>
            <w:pPr>
              <w:spacing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电商基地开园</w:t>
            </w:r>
          </w:p>
          <w:p>
            <w:pPr>
              <w:spacing w:after="0" w:line="260" w:lineRule="exact"/>
              <w:contextualSpacing/>
              <w:jc w:val="center"/>
              <w:rPr>
                <w:rFonts w:asciiTheme="minorEastAsia" w:hAnsiTheme="minorEastAsia"/>
                <w:b/>
              </w:rPr>
            </w:pPr>
            <w:r>
              <w:rPr>
                <w:rFonts w:hint="eastAsia" w:asciiTheme="minorEastAsia" w:hAnsiTheme="minorEastAsia"/>
                <w:b/>
              </w:rPr>
              <w:t>运营年限（</w:t>
            </w:r>
            <w:r>
              <w:rPr>
                <w:rFonts w:asciiTheme="minorEastAsia" w:hAnsiTheme="minorEastAsia"/>
                <w:b/>
              </w:rPr>
              <w:t>1</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年</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1.截至报告期末，基地开园运营年限。</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2.按照基地自第一家直播电商企业入驻之日计算，此时间点若早于正式开园时间，按开园时间计算。</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3.可以细化到月份，如2年8个月。</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4.不应是工业区、高新区、经开区等其他类型园区设立或建区年限。</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有关批复文件、新闻报道等。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63" w:type="dxa"/>
            <w:vMerge w:val="restart"/>
            <w:vAlign w:val="center"/>
          </w:tcPr>
          <w:p>
            <w:pPr>
              <w:spacing w:after="0" w:line="260" w:lineRule="exact"/>
              <w:contextualSpacing/>
              <w:jc w:val="center"/>
              <w:rPr>
                <w:rFonts w:hint="eastAsia" w:ascii="华文细黑" w:hAnsi="华文细黑" w:eastAsia="华文细黑"/>
                <w:b/>
                <w:sz w:val="24"/>
                <w:szCs w:val="24"/>
              </w:rPr>
            </w:pPr>
            <w:r>
              <w:rPr>
                <w:rFonts w:hint="eastAsia" w:ascii="华文细黑" w:hAnsi="华文细黑" w:eastAsia="华文细黑"/>
                <w:b/>
                <w:sz w:val="24"/>
                <w:szCs w:val="24"/>
              </w:rPr>
              <w:t>发展</w:t>
            </w:r>
          </w:p>
          <w:p>
            <w:pPr>
              <w:spacing w:after="0" w:line="260" w:lineRule="exact"/>
              <w:contextualSpacing/>
              <w:jc w:val="center"/>
              <w:rPr>
                <w:rFonts w:ascii="华文细黑" w:hAnsi="华文细黑" w:eastAsia="华文细黑"/>
                <w:b/>
                <w:sz w:val="24"/>
                <w:szCs w:val="24"/>
              </w:rPr>
            </w:pPr>
            <w:r>
              <w:rPr>
                <w:rFonts w:hint="eastAsia" w:ascii="华文细黑" w:hAnsi="华文细黑" w:eastAsia="华文细黑"/>
                <w:b/>
                <w:sz w:val="24"/>
                <w:szCs w:val="24"/>
              </w:rPr>
              <w:t>能力</w:t>
            </w:r>
          </w:p>
          <w:p>
            <w:pPr>
              <w:spacing w:after="0" w:line="260" w:lineRule="exact"/>
              <w:contextualSpacing/>
              <w:jc w:val="both"/>
              <w:rPr>
                <w:rFonts w:hint="default" w:eastAsia="华文细黑"/>
                <w:lang w:val="en-US" w:eastAsia="zh-CN"/>
              </w:rPr>
            </w:pPr>
            <w:r>
              <w:rPr>
                <w:rFonts w:hint="eastAsia" w:ascii="华文细黑" w:hAnsi="华文细黑" w:eastAsia="华文细黑"/>
                <w:b/>
                <w:sz w:val="24"/>
                <w:szCs w:val="24"/>
              </w:rPr>
              <w:t>（</w:t>
            </w:r>
            <w:r>
              <w:rPr>
                <w:rFonts w:hint="eastAsia" w:ascii="华文细黑" w:hAnsi="华文细黑" w:eastAsia="华文细黑"/>
                <w:b/>
                <w:sz w:val="24"/>
                <w:szCs w:val="24"/>
                <w:lang w:val="en-US" w:eastAsia="zh-CN"/>
              </w:rPr>
              <w:t>10</w:t>
            </w:r>
            <w:r>
              <w:rPr>
                <w:rFonts w:hint="eastAsia" w:ascii="华文细黑" w:hAnsi="华文细黑" w:eastAsia="华文细黑"/>
                <w:b/>
                <w:sz w:val="24"/>
                <w:szCs w:val="24"/>
              </w:rPr>
              <w:t>）</w:t>
            </w:r>
          </w:p>
        </w:tc>
        <w:tc>
          <w:tcPr>
            <w:tcW w:w="1025" w:type="dxa"/>
            <w:vMerge w:val="restart"/>
            <w:vAlign w:val="center"/>
          </w:tcPr>
          <w:p>
            <w:pPr>
              <w:spacing w:after="0" w:line="260" w:lineRule="exact"/>
              <w:contextualSpacing/>
              <w:jc w:val="center"/>
              <w:rPr>
                <w:rFonts w:hint="eastAsia" w:ascii="楷体" w:hAnsi="楷体" w:eastAsia="楷体"/>
                <w:sz w:val="24"/>
                <w:szCs w:val="24"/>
                <w:lang w:eastAsia="zh-CN"/>
              </w:rPr>
            </w:pPr>
            <w:r>
              <w:rPr>
                <w:rFonts w:hint="eastAsia" w:ascii="楷体" w:hAnsi="楷体" w:eastAsia="楷体"/>
                <w:sz w:val="24"/>
                <w:szCs w:val="24"/>
                <w:lang w:eastAsia="zh-CN"/>
              </w:rPr>
              <w:t>发展潜力</w:t>
            </w:r>
            <w:bookmarkStart w:id="0" w:name="_GoBack"/>
            <w:bookmarkEnd w:id="0"/>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规划发展（</w:t>
            </w:r>
            <w:r>
              <w:rPr>
                <w:rFonts w:hint="eastAsia" w:asciiTheme="minorEastAsia" w:hAnsiTheme="minorEastAsia"/>
                <w:b/>
                <w:lang w:val="en-US" w:eastAsia="zh-CN"/>
              </w:rPr>
              <w:t>5</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1.截至报告期末，基地是否根据自身情况编制合理的发展规划，科学指导基地建设与未来发展。</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2.不应以基地所在城市或区域的规划代替基地规划。</w:t>
            </w:r>
          </w:p>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3.电商领域专业规划而非其他。</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规划文件、实施方案、行动计划、可行性研究报告等。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asciiTheme="minorEastAsia" w:hAnsiTheme="minorEastAsia"/>
                <w:b/>
              </w:rPr>
            </w:pPr>
            <w:r>
              <w:rPr>
                <w:rFonts w:hint="eastAsia" w:asciiTheme="minorEastAsia" w:hAnsiTheme="minorEastAsia"/>
                <w:b/>
              </w:rPr>
              <w:t>产学研合作（</w:t>
            </w:r>
            <w:r>
              <w:rPr>
                <w:rFonts w:hint="eastAsia" w:asciiTheme="minorEastAsia" w:hAnsiTheme="minorEastAsia"/>
                <w:b/>
                <w:lang w:val="en-US" w:eastAsia="zh-CN"/>
              </w:rPr>
              <w:t>2</w:t>
            </w:r>
            <w:r>
              <w:rPr>
                <w:rFonts w:hint="eastAsia" w:asciiTheme="minorEastAsia" w:hAnsiTheme="minorEastAsia"/>
                <w:b/>
              </w:rPr>
              <w:t>分）</w:t>
            </w:r>
          </w:p>
        </w:tc>
        <w:tc>
          <w:tcPr>
            <w:tcW w:w="434" w:type="dxa"/>
            <w:vAlign w:val="center"/>
          </w:tcPr>
          <w:p>
            <w:pPr>
              <w:spacing w:after="0" w:line="260" w:lineRule="exact"/>
              <w:contextualSpacing/>
              <w:jc w:val="center"/>
              <w:rPr>
                <w:rFonts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截至报告期末，基地是否与大专院校、研究机构建立合作机制，开展直播电商研究，应用新技术、开发新产品。</w:t>
            </w:r>
          </w:p>
        </w:tc>
        <w:tc>
          <w:tcPr>
            <w:tcW w:w="3137" w:type="dxa"/>
            <w:vAlign w:val="center"/>
          </w:tcPr>
          <w:p>
            <w:pPr>
              <w:spacing w:after="0" w:line="260" w:lineRule="exact"/>
              <w:contextualSpacing/>
              <w:rPr>
                <w:rFonts w:ascii="仿宋_GB2312" w:eastAsia="仿宋_GB2312" w:hAnsiTheme="minorEastAsia"/>
                <w:sz w:val="21"/>
                <w:szCs w:val="21"/>
              </w:rPr>
            </w:pPr>
            <w:r>
              <w:rPr>
                <w:rFonts w:hint="eastAsia" w:ascii="仿宋_GB2312" w:eastAsia="仿宋_GB2312" w:hAnsiTheme="minorEastAsia"/>
                <w:sz w:val="21"/>
                <w:szCs w:val="21"/>
              </w:rPr>
              <w:t>相关文件、新闻报道等。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63" w:type="dxa"/>
            <w:vMerge w:val="continue"/>
            <w:vAlign w:val="center"/>
          </w:tcPr>
          <w:p>
            <w:pPr>
              <w:spacing w:after="0" w:line="260" w:lineRule="exact"/>
              <w:contextualSpacing/>
              <w:jc w:val="center"/>
            </w:pPr>
          </w:p>
        </w:tc>
        <w:tc>
          <w:tcPr>
            <w:tcW w:w="1025" w:type="dxa"/>
            <w:vMerge w:val="continue"/>
            <w:vAlign w:val="center"/>
          </w:tcPr>
          <w:p>
            <w:pPr>
              <w:spacing w:after="0" w:line="260" w:lineRule="exact"/>
              <w:contextualSpacing/>
              <w:jc w:val="center"/>
              <w:rPr>
                <w:rFonts w:ascii="楷体" w:hAnsi="楷体" w:eastAsia="楷体"/>
                <w:sz w:val="24"/>
                <w:szCs w:val="24"/>
              </w:rPr>
            </w:pPr>
          </w:p>
        </w:tc>
        <w:tc>
          <w:tcPr>
            <w:tcW w:w="2060" w:type="dxa"/>
            <w:vAlign w:val="center"/>
          </w:tcPr>
          <w:p>
            <w:pPr>
              <w:spacing w:after="0" w:line="260" w:lineRule="exact"/>
              <w:contextualSpacing/>
              <w:jc w:val="center"/>
              <w:rPr>
                <w:rFonts w:hint="eastAsia" w:asciiTheme="minorEastAsia" w:hAnsiTheme="minorEastAsia" w:eastAsiaTheme="minorEastAsia"/>
                <w:b/>
                <w:lang w:eastAsia="zh-CN"/>
              </w:rPr>
            </w:pPr>
            <w:r>
              <w:rPr>
                <w:rFonts w:hint="eastAsia" w:asciiTheme="minorEastAsia" w:hAnsiTheme="minorEastAsia"/>
                <w:b/>
                <w:lang w:eastAsia="zh-CN"/>
              </w:rPr>
              <w:t>平台合作（</w:t>
            </w:r>
            <w:r>
              <w:rPr>
                <w:rFonts w:hint="eastAsia" w:asciiTheme="minorEastAsia" w:hAnsiTheme="minorEastAsia"/>
                <w:b/>
                <w:lang w:val="en-US" w:eastAsia="zh-CN"/>
              </w:rPr>
              <w:t>3分</w:t>
            </w:r>
            <w:r>
              <w:rPr>
                <w:rFonts w:hint="eastAsia" w:asciiTheme="minorEastAsia" w:hAnsiTheme="minorEastAsia"/>
                <w:b/>
                <w:lang w:eastAsia="zh-CN"/>
              </w:rPr>
              <w:t>）</w:t>
            </w:r>
          </w:p>
        </w:tc>
        <w:tc>
          <w:tcPr>
            <w:tcW w:w="434" w:type="dxa"/>
            <w:vAlign w:val="center"/>
          </w:tcPr>
          <w:p>
            <w:pPr>
              <w:spacing w:after="0" w:line="260" w:lineRule="exact"/>
              <w:contextualSpacing/>
              <w:jc w:val="center"/>
              <w:rPr>
                <w:rFonts w:hint="eastAsia" w:asciiTheme="minorEastAsia" w:hAnsiTheme="minorEastAsia"/>
                <w:b/>
                <w:sz w:val="18"/>
                <w:szCs w:val="18"/>
              </w:rPr>
            </w:pPr>
            <w:r>
              <w:rPr>
                <w:rFonts w:hint="eastAsia" w:asciiTheme="minorEastAsia" w:hAnsiTheme="minorEastAsia"/>
                <w:b/>
                <w:sz w:val="18"/>
                <w:szCs w:val="18"/>
              </w:rPr>
              <w:t>是/否</w:t>
            </w:r>
          </w:p>
        </w:tc>
        <w:tc>
          <w:tcPr>
            <w:tcW w:w="54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rPr>
              <w:t>截至报告期末，基地是否与</w:t>
            </w:r>
            <w:r>
              <w:rPr>
                <w:rFonts w:hint="eastAsia" w:ascii="仿宋_GB2312" w:eastAsia="仿宋_GB2312" w:hAnsiTheme="minorEastAsia"/>
                <w:sz w:val="21"/>
                <w:szCs w:val="21"/>
                <w:lang w:eastAsia="zh-CN"/>
              </w:rPr>
              <w:t>国内外知名平台</w:t>
            </w:r>
            <w:r>
              <w:rPr>
                <w:rFonts w:hint="eastAsia" w:ascii="仿宋_GB2312" w:eastAsia="仿宋_GB2312" w:hAnsiTheme="minorEastAsia"/>
                <w:sz w:val="21"/>
                <w:szCs w:val="21"/>
              </w:rPr>
              <w:t>建立合作机制，</w:t>
            </w:r>
            <w:r>
              <w:rPr>
                <w:rFonts w:hint="eastAsia" w:ascii="仿宋_GB2312" w:eastAsia="仿宋_GB2312" w:hAnsiTheme="minorEastAsia"/>
                <w:sz w:val="21"/>
                <w:szCs w:val="21"/>
                <w:lang w:eastAsia="zh-CN"/>
              </w:rPr>
              <w:t>引入平台资源合作</w:t>
            </w:r>
            <w:r>
              <w:rPr>
                <w:rFonts w:hint="eastAsia" w:ascii="仿宋_GB2312" w:eastAsia="仿宋_GB2312" w:hAnsiTheme="minorEastAsia"/>
                <w:sz w:val="21"/>
                <w:szCs w:val="21"/>
              </w:rPr>
              <w:t>开展</w:t>
            </w:r>
            <w:r>
              <w:rPr>
                <w:rFonts w:hint="eastAsia" w:ascii="仿宋_GB2312" w:eastAsia="仿宋_GB2312" w:hAnsiTheme="minorEastAsia"/>
                <w:sz w:val="21"/>
                <w:szCs w:val="21"/>
                <w:lang w:eastAsia="zh-CN"/>
              </w:rPr>
              <w:t>专项直播项目等</w:t>
            </w:r>
            <w:r>
              <w:rPr>
                <w:rFonts w:hint="eastAsia" w:ascii="仿宋_GB2312" w:eastAsia="仿宋_GB2312" w:hAnsiTheme="minorEastAsia"/>
                <w:sz w:val="21"/>
                <w:szCs w:val="21"/>
              </w:rPr>
              <w:t>。</w:t>
            </w:r>
          </w:p>
        </w:tc>
        <w:tc>
          <w:tcPr>
            <w:tcW w:w="3137" w:type="dxa"/>
            <w:vAlign w:val="center"/>
          </w:tcPr>
          <w:p>
            <w:pPr>
              <w:spacing w:after="0" w:line="260" w:lineRule="exact"/>
              <w:contextualSpacing/>
              <w:rPr>
                <w:rFonts w:hint="eastAsia" w:ascii="仿宋_GB2312" w:eastAsia="仿宋_GB2312" w:hAnsiTheme="minorEastAsia"/>
                <w:sz w:val="21"/>
                <w:szCs w:val="21"/>
              </w:rPr>
            </w:pPr>
            <w:r>
              <w:rPr>
                <w:rFonts w:hint="eastAsia" w:ascii="仿宋_GB2312" w:eastAsia="仿宋_GB2312" w:hAnsiTheme="minorEastAsia"/>
                <w:sz w:val="21"/>
                <w:szCs w:val="21"/>
              </w:rPr>
              <w:t>有关批复文件、新闻报道等。</w:t>
            </w:r>
          </w:p>
        </w:tc>
        <w:tc>
          <w:tcPr>
            <w:tcW w:w="1118" w:type="dxa"/>
            <w:vAlign w:val="center"/>
          </w:tcPr>
          <w:p>
            <w:pPr>
              <w:spacing w:after="0" w:line="260" w:lineRule="exact"/>
              <w:contextualSpacing/>
              <w:rPr>
                <w:rFonts w:ascii="仿宋_GB2312" w:eastAsia="仿宋_GB2312"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9919" w:type="dxa"/>
            <w:gridSpan w:val="5"/>
            <w:vAlign w:val="center"/>
          </w:tcPr>
          <w:p>
            <w:pPr>
              <w:spacing w:after="0" w:line="260" w:lineRule="exact"/>
              <w:ind w:firstLine="4565" w:firstLineChars="1900"/>
              <w:contextualSpacing/>
              <w:rPr>
                <w:rFonts w:hint="eastAsia" w:ascii="仿宋_GB2312" w:eastAsia="仿宋_GB2312" w:hAnsiTheme="minorEastAsia"/>
                <w:sz w:val="21"/>
                <w:szCs w:val="21"/>
                <w:lang w:eastAsia="zh-CN"/>
              </w:rPr>
            </w:pPr>
            <w:r>
              <w:rPr>
                <w:rFonts w:hint="eastAsia" w:ascii="华文细黑" w:hAnsi="华文细黑" w:eastAsia="华文细黑"/>
                <w:b/>
                <w:sz w:val="24"/>
                <w:szCs w:val="24"/>
                <w:lang w:eastAsia="zh-CN"/>
              </w:rPr>
              <w:t>合计得分</w:t>
            </w:r>
          </w:p>
        </w:tc>
        <w:tc>
          <w:tcPr>
            <w:tcW w:w="4255" w:type="dxa"/>
            <w:gridSpan w:val="2"/>
            <w:vAlign w:val="center"/>
          </w:tcPr>
          <w:p>
            <w:pPr>
              <w:spacing w:after="0" w:line="260" w:lineRule="exact"/>
              <w:contextualSpacing/>
              <w:rPr>
                <w:rFonts w:ascii="仿宋_GB2312" w:eastAsia="仿宋_GB2312" w:hAnsiTheme="minorEastAsia"/>
                <w:sz w:val="21"/>
                <w:szCs w:val="21"/>
              </w:rPr>
            </w:pPr>
          </w:p>
        </w:tc>
      </w:tr>
    </w:tbl>
    <w:p/>
    <w:sectPr>
      <w:footerReference r:id="rId5" w:type="default"/>
      <w:pgSz w:w="16838" w:h="11906" w:orient="landscape"/>
      <w:pgMar w:top="1560" w:right="1440" w:bottom="156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921032"/>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WU0YzBkZTVjOTQ3Y2E0Y2ZkMjhiYTM4NTQ3YjMifQ=="/>
  </w:docVars>
  <w:rsids>
    <w:rsidRoot w:val="6A7509C6"/>
    <w:rsid w:val="00021795"/>
    <w:rsid w:val="00113C4F"/>
    <w:rsid w:val="001A21FA"/>
    <w:rsid w:val="001A77FC"/>
    <w:rsid w:val="001B08E3"/>
    <w:rsid w:val="001F322F"/>
    <w:rsid w:val="0027064A"/>
    <w:rsid w:val="002736B2"/>
    <w:rsid w:val="002B36C1"/>
    <w:rsid w:val="002F3BD8"/>
    <w:rsid w:val="003D3945"/>
    <w:rsid w:val="005B2882"/>
    <w:rsid w:val="006F5283"/>
    <w:rsid w:val="008468B4"/>
    <w:rsid w:val="00850F15"/>
    <w:rsid w:val="00885F6C"/>
    <w:rsid w:val="00887ADC"/>
    <w:rsid w:val="008B3B7E"/>
    <w:rsid w:val="00972902"/>
    <w:rsid w:val="009768D9"/>
    <w:rsid w:val="00A21F8A"/>
    <w:rsid w:val="00A47060"/>
    <w:rsid w:val="00A641FB"/>
    <w:rsid w:val="00B44BBF"/>
    <w:rsid w:val="00B56E11"/>
    <w:rsid w:val="00B6684A"/>
    <w:rsid w:val="00D1196A"/>
    <w:rsid w:val="00D32998"/>
    <w:rsid w:val="00E072DC"/>
    <w:rsid w:val="00F905E1"/>
    <w:rsid w:val="017556AA"/>
    <w:rsid w:val="03E5503B"/>
    <w:rsid w:val="05496538"/>
    <w:rsid w:val="061D76FA"/>
    <w:rsid w:val="0780311D"/>
    <w:rsid w:val="07B62F76"/>
    <w:rsid w:val="08911C01"/>
    <w:rsid w:val="09615163"/>
    <w:rsid w:val="0D322910"/>
    <w:rsid w:val="0E9E4764"/>
    <w:rsid w:val="0EC80D81"/>
    <w:rsid w:val="0F4C4D45"/>
    <w:rsid w:val="103233B6"/>
    <w:rsid w:val="137F0ED3"/>
    <w:rsid w:val="15341708"/>
    <w:rsid w:val="184E0FA9"/>
    <w:rsid w:val="19103EA5"/>
    <w:rsid w:val="194F4FD8"/>
    <w:rsid w:val="19B3566E"/>
    <w:rsid w:val="1D392227"/>
    <w:rsid w:val="20564E9E"/>
    <w:rsid w:val="23BD5235"/>
    <w:rsid w:val="23E463A4"/>
    <w:rsid w:val="25034036"/>
    <w:rsid w:val="25EC40B3"/>
    <w:rsid w:val="277A3683"/>
    <w:rsid w:val="2918606F"/>
    <w:rsid w:val="292E48AD"/>
    <w:rsid w:val="2AED63FF"/>
    <w:rsid w:val="2C9034E6"/>
    <w:rsid w:val="2CE576AE"/>
    <w:rsid w:val="326F1DF0"/>
    <w:rsid w:val="332D7CE1"/>
    <w:rsid w:val="34717520"/>
    <w:rsid w:val="34D81ECE"/>
    <w:rsid w:val="35A46254"/>
    <w:rsid w:val="36BE50F4"/>
    <w:rsid w:val="379453FA"/>
    <w:rsid w:val="42982C9D"/>
    <w:rsid w:val="43454BD3"/>
    <w:rsid w:val="45DE30BD"/>
    <w:rsid w:val="465F5FAB"/>
    <w:rsid w:val="49836455"/>
    <w:rsid w:val="4AD131F0"/>
    <w:rsid w:val="4DC25694"/>
    <w:rsid w:val="52ED34D9"/>
    <w:rsid w:val="53AF7E46"/>
    <w:rsid w:val="56552F27"/>
    <w:rsid w:val="5A5359CF"/>
    <w:rsid w:val="5B411CCC"/>
    <w:rsid w:val="5C290519"/>
    <w:rsid w:val="5ED370DF"/>
    <w:rsid w:val="64496236"/>
    <w:rsid w:val="64AA2690"/>
    <w:rsid w:val="65393A14"/>
    <w:rsid w:val="67503F9A"/>
    <w:rsid w:val="67B85170"/>
    <w:rsid w:val="67CC6DC1"/>
    <w:rsid w:val="69A24DB9"/>
    <w:rsid w:val="6A7509C6"/>
    <w:rsid w:val="6B6E6D55"/>
    <w:rsid w:val="6D6F26C8"/>
    <w:rsid w:val="6D77157D"/>
    <w:rsid w:val="71CB1E97"/>
    <w:rsid w:val="729A1F96"/>
    <w:rsid w:val="76244174"/>
    <w:rsid w:val="772E7150"/>
    <w:rsid w:val="777F5FFA"/>
    <w:rsid w:val="7BD007D6"/>
    <w:rsid w:val="7BFE17E7"/>
    <w:rsid w:val="7D3905FD"/>
    <w:rsid w:val="7DB2524F"/>
    <w:rsid w:val="7DC71FDC"/>
    <w:rsid w:val="7E835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sz w:val="18"/>
      <w:szCs w:val="18"/>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Revision"/>
    <w:hidden/>
    <w:semiHidden/>
    <w:qFormat/>
    <w:uiPriority w:val="99"/>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2854</Words>
  <Characters>2928</Characters>
  <Lines>27</Lines>
  <Paragraphs>7</Paragraphs>
  <TotalTime>11</TotalTime>
  <ScaleCrop>false</ScaleCrop>
  <LinksUpToDate>false</LinksUpToDate>
  <CharactersWithSpaces>2928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2023-03-17T21:45:00Z</dcterms:created>
  <dc:creator>杨艺杰</dc:creator>
  <cp:lastModifiedBy>NO.</cp:lastModifiedBy>
  <cp:lastPrinted>2023-03-20T01:35:00Z</cp:lastPrinted>
  <dcterms:modified xsi:type="dcterms:W3CDTF">2023-03-30T15:18:36Z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28711C8383D04ED1A8D8CD521FF5596C</vt:lpwstr>
  </property>
</Properties>
</file>