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方正小标宋简体" w:hAnsi="方正小标宋简体" w:eastAsia="方正小标宋简体" w:cs="方正小标宋简体"/>
          <w:snapToGrid w:val="0"/>
          <w:color w:val="000000" w:themeColor="text1"/>
          <w:sz w:val="44"/>
          <w:szCs w:val="44"/>
        </w:rPr>
      </w:pPr>
      <w:r>
        <w:rPr>
          <w:rFonts w:hint="eastAsia" w:eastAsia="方正小标宋简体" w:cs="方正小标宋简体"/>
          <w:snapToGrid w:val="0"/>
          <w:color w:val="000000" w:themeColor="text1"/>
          <w:sz w:val="44"/>
          <w:szCs w:val="44"/>
        </w:rPr>
        <w:t>柳州商务工作市、县两级权责清单规范化通用目录</w:t>
      </w:r>
    </w:p>
    <w:p>
      <w:pPr>
        <w:adjustRightInd w:val="0"/>
        <w:snapToGrid w:val="0"/>
        <w:spacing w:line="570" w:lineRule="exact"/>
        <w:jc w:val="center"/>
        <w:rPr>
          <w:rFonts w:eastAsia="仿宋_GB2312"/>
          <w:snapToGrid w:val="0"/>
          <w:color w:val="000000" w:themeColor="text1"/>
          <w:sz w:val="32"/>
          <w:szCs w:val="32"/>
        </w:rPr>
      </w:pPr>
    </w:p>
    <w:tbl>
      <w:tblPr>
        <w:tblStyle w:val="4"/>
        <w:tblW w:w="21087" w:type="dxa"/>
        <w:jc w:val="center"/>
        <w:tblLayout w:type="fixed"/>
        <w:tblCellMar>
          <w:top w:w="0" w:type="dxa"/>
          <w:left w:w="28" w:type="dxa"/>
          <w:bottom w:w="0" w:type="dxa"/>
          <w:right w:w="28" w:type="dxa"/>
        </w:tblCellMar>
      </w:tblPr>
      <w:tblGrid>
        <w:gridCol w:w="334"/>
        <w:gridCol w:w="528"/>
        <w:gridCol w:w="928"/>
        <w:gridCol w:w="927"/>
        <w:gridCol w:w="927"/>
        <w:gridCol w:w="5469"/>
        <w:gridCol w:w="3675"/>
        <w:gridCol w:w="7734"/>
        <w:gridCol w:w="565"/>
      </w:tblGrid>
      <w:tr>
        <w:tblPrEx>
          <w:tblCellMar>
            <w:top w:w="0" w:type="dxa"/>
            <w:left w:w="28" w:type="dxa"/>
            <w:bottom w:w="0" w:type="dxa"/>
            <w:right w:w="28" w:type="dxa"/>
          </w:tblCellMar>
        </w:tblPrEx>
        <w:trPr>
          <w:trHeight w:val="284" w:hRule="atLeast"/>
          <w:tblHeader/>
          <w:jc w:val="center"/>
        </w:trPr>
        <w:tc>
          <w:tcPr>
            <w:tcW w:w="33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序号</w:t>
            </w:r>
          </w:p>
        </w:tc>
        <w:tc>
          <w:tcPr>
            <w:tcW w:w="52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权力</w:t>
            </w:r>
          </w:p>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分类</w:t>
            </w:r>
          </w:p>
        </w:tc>
        <w:tc>
          <w:tcPr>
            <w:tcW w:w="8286" w:type="dxa"/>
            <w:gridSpan w:val="4"/>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权力清单</w:t>
            </w:r>
          </w:p>
        </w:tc>
        <w:tc>
          <w:tcPr>
            <w:tcW w:w="11459" w:type="dxa"/>
            <w:gridSpan w:val="2"/>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责任清单</w:t>
            </w:r>
          </w:p>
        </w:tc>
        <w:tc>
          <w:tcPr>
            <w:tcW w:w="47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备注</w:t>
            </w:r>
          </w:p>
        </w:tc>
      </w:tr>
      <w:tr>
        <w:tblPrEx>
          <w:tblCellMar>
            <w:top w:w="0" w:type="dxa"/>
            <w:left w:w="28" w:type="dxa"/>
            <w:bottom w:w="0" w:type="dxa"/>
            <w:right w:w="28" w:type="dxa"/>
          </w:tblCellMar>
        </w:tblPrEx>
        <w:trPr>
          <w:trHeight w:val="284" w:hRule="atLeast"/>
          <w:tblHeader/>
          <w:jc w:val="center"/>
        </w:trPr>
        <w:tc>
          <w:tcPr>
            <w:tcW w:w="33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52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项目名称</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子项名称</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实施层级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设定依据</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责任事项</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责任事项依据</w:t>
            </w:r>
          </w:p>
        </w:tc>
        <w:tc>
          <w:tcPr>
            <w:tcW w:w="47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r>
      <w:tr>
        <w:tblPrEx>
          <w:tblCellMar>
            <w:top w:w="0" w:type="dxa"/>
            <w:left w:w="28" w:type="dxa"/>
            <w:bottom w:w="0" w:type="dxa"/>
            <w:right w:w="28" w:type="dxa"/>
          </w:tblCellMar>
        </w:tblPrEx>
        <w:trPr>
          <w:trHeight w:val="11340"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成品油零售经营资格审批</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国务院对确需保留的行政审批项目设定行政许可的决定》（2004年国务院令第412号公布，2009年修改）第183条：石油成品油批发、仓储、零售经营资格审批由商务部、省级人民政府商务行政主管部门实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规范性文件】《广西壮族自治区人民政府关于下放成品油零售经营资格审批权限的通知》（桂政电〔2020〕27号）“一、下放成品油零售经营资格审批至市人民政府：成品油零售经营资格审批下放后，各市人民政府负责编制本辖区成品油零售体系发展规划，组织实施加油站规划确认、成品油零售经营资格许可、成品油零售经营批准证书变更及注（撤）销事项的审批；确定市、县两级具体执行部门负责审批及行业管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1.受理阶段责任：公示应当提交的材料；在规定时间出具一次性告知补正材料；依法受理或不予受理（不予受理的告知理由）。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2.审查阶段责任：在20个工作日内审查申请成品油零售经营资格许可材料。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3.决定阶段责任：作出行政许可或者不予行政许可的决定（不予许可的告知理由）；按时办结；法定告知。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4.送达阶段责任：准予许可的，制作决定文件，送达并在网站信息公开。</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5.监管责任：对本辖区成品油经营市场的监督检查，及时对成品油经营企业的违法违规行为进行查处。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2.【法律】《中华人民共和国行政许可法》第四十六条：法律、法规、规章规定实施行政许可应当听证的事项，或者行政机关认为需要听证的其他涉及公共利益的重大行政许可事项，行政机关应当向社会公告，并举行听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5.【法律】《中华人民共和国行政许可法》第六十一条：行政机关应当建立健全监督制度，通过核查反映被许可人从事行政许可事项活动情况的有关材料，履行监督责任。</w:t>
            </w:r>
          </w:p>
        </w:tc>
        <w:tc>
          <w:tcPr>
            <w:tcW w:w="4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对外劳务合作经营资格核准</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七条: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并说明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规范性文件】《广西壮族自治区人民政府关于取消和下放一批行政审批项目的决定》（桂政发﹝2013﹞44号）的附件2：《广西壮族自治区人民政府决定下放管理权（含部分权限）的行政审批项目目录》第92项“委托设区市商务行政部门实施对外劳务合作经营资格证书核发”要求，2015年1月起下放至设区市商务行政部门实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3.【规范性文件】《广西壮族自治区人民政府关于取消下放调整一批行政审批项目的决定》（桂政发﹝2014﹞69号）附件2第48条款：将自治区管理权限委托下放设区市商务行政主管部门实施；</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1.受理阶段责任：公示依法应当提交的材料；一次性告知补正材料；依法受理或不予受理（不予受理应当告知理由）。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2.审查阶段责任：对申请的材料进行审核，提出意见。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3.决定阶段责任：作出行政许可或者不予行政许可决定，法定告知（不予许可的应当书面告知理由）。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4.送达阶段责任：制发、送达《对外劳务合作经营资格证书》，公开信息。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5.事后监管阶段责任：监督对外劳务合作，受理投诉。</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6.其他法律法规规章文件规定应履行的责任。</w:t>
            </w:r>
            <w:bookmarkStart w:id="0" w:name="_GoBack"/>
            <w:bookmarkEnd w:id="0"/>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许可法》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4—1.【法律】《中华人民共和国行政许可法》第四十条：行政机关作出的准予行政许可决定，应当予以公开，公众有权查阅。</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4—2.【法律】《中华人民共和国行政许可法》第四十四条：行政机关作出准予行政许可的决定，应当自作出决定之日起十日内向申请人颁发、送达行政许可证件</w:t>
            </w:r>
            <w:r>
              <w:rPr>
                <w:rFonts w:hint="eastAsia" w:eastAsia="仿宋_GB2312"/>
                <w:color w:val="000000" w:themeColor="text1"/>
                <w:kern w:val="0"/>
                <w:sz w:val="20"/>
                <w:szCs w:val="20"/>
                <w:lang w:eastAsia="zh-CN"/>
              </w:rPr>
              <w:t>，</w:t>
            </w:r>
            <w:r>
              <w:rPr>
                <w:rFonts w:hint="eastAsia" w:eastAsia="仿宋_GB2312"/>
                <w:color w:val="000000" w:themeColor="text1"/>
                <w:kern w:val="0"/>
                <w:sz w:val="20"/>
                <w:szCs w:val="20"/>
              </w:rPr>
              <w:t>或者加贴标签、加盖检验、检测、检疫印章。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5.【法律】《中华人民共和国行政许可法》第六十一条:行政机关应当建立健全监督制度，通过核查反映被许可人从事行政许可事项活动情况的有关材料，履行监督责任。</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1.【行政法规】《对外劳务合作管理条例》第十九条：对外劳务合作企业停止开展对外劳务合作的，应当对其派出的尚在国外工作的劳务人员作出妥善安排，并将安排方案报负责审批的商务主管部门备案。负责审批的商务主管部门应当将安排方案报至国务院商务主管部门，国务院商务主管部门应当及时通报中国驻用工项目所在国使馆、领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2.【行政法规】《对外劳务合作管理条例》第二十条：劳务人员有权向商务主管部门和其他有关部门投诉对外劳务合作企业违反合同约定或者其他侵害劳务人员合法权益的行为。接受投诉的部门应当按照职责依法及时处理，并将处理情况向投诉人反馈。</w:t>
            </w:r>
          </w:p>
        </w:tc>
        <w:tc>
          <w:tcPr>
            <w:tcW w:w="4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r>
              <w:rPr>
                <w:rFonts w:hint="eastAsia" w:eastAsia="仿宋_GB2312"/>
                <w:color w:val="000000" w:themeColor="text1"/>
                <w:kern w:val="0"/>
                <w:sz w:val="20"/>
                <w:szCs w:val="20"/>
              </w:rPr>
              <w:t>该行政许可由柳州市行政审局实施。</w:t>
            </w: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从事拍卖业务许可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市级（受理）</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【法律】《中华人民共和国拍卖法》第十一条：企业取得从事拍卖业务的许可必须经所在地的省、自治区、直辖市人民政府负责管理拍卖业的部门审核批准。拍卖企业可以在设区的市设立。</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部门规章】《拍卖管理办法》（2004年商务部令第24号发布，2019年商务部令第1号修正）第十二条：企业及分公司申请取得从事拍卖业务的许可，按照下列程序办理：企业及分公司申请取得从事拍卖业务的许可，应当先经企业或分公司所在地市级商务主管部门审查后，报省级商务主管部门核准并颁发拍卖经营批准证书。</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第十三条：拍卖企业向工商行政管理机关申请变更注册登记项目后，应当报省级商务主管部门核准，并由其换发拍卖经营批准证书。</w:t>
            </w:r>
          </w:p>
          <w:p>
            <w:pPr>
              <w:adjustRightInd w:val="0"/>
              <w:snapToGrid w:val="0"/>
              <w:spacing w:line="300" w:lineRule="exact"/>
              <w:ind w:firstLine="400" w:firstLineChars="200"/>
              <w:rPr>
                <w:rFonts w:eastAsia="仿宋_GB2312"/>
                <w:color w:val="000000" w:themeColor="text1"/>
                <w:kern w:val="0"/>
                <w:sz w:val="20"/>
                <w:szCs w:val="20"/>
              </w:rPr>
            </w:pP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1.受理阶段责任：公示拍卖企业设立许可初审所需申请材料内容，并按申请人的要求进行相关解释说明。及时告知不予受理的决定及理由.一次性告知需要补正的申请材料全部内容。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2.审查阶段责任：在规定的时间内对申请材料进行预审、提出预审意见。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3.转报阶段责任：在规定时间内向自治区商务厅进行转报（不予转报的应当书面告知理由）。</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1.【部门规章】《拍卖管理办法》（2004年商务部令2004年第24号发布，2019年商务部令第1号修正）第七条：设立拍卖企业，应当具备下列条件：（一）有1百万元人民币以上的注册资本；（二）有自己的名称、组织机构和章程；（三）有固定的办公场所；（四）有3名以上取得拍卖业从业资格的人员，其中至少有1名是拍卖师；并有与主营业务密切联系的行业从业资格的专职或兼职人员；（五）有符合有关法律、行政法规及本办法规定的拍卖业务规则；（六）符合商务主管部门有关拍卖行业发展规划。</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2.【部门规章】《拍卖管理办法》（2004年商务部令2004年第24号发布，2019年商务部令第1号修正）第八条：申请设立拍卖企业，应当提交下列材料：（一）申请书；（二）公司章程、拍卖业务规则；（三）工商行政管理机关核发的《企业名称预先核准通知书》；（四）拟任法定代表人简历和有效身份证明；（五）拟聘任的拍卖师执业资格证书及从业人员的相关资质证明；（六）固定办公场所产权证明或租用合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3.【部门规章】《拍卖管理办法》（2004年商务部令2004年第24号发布，2019年商务部令第1号修正）第十条：拍卖企业分公司申请取得从事拍卖业务的许可，应当符合下列条件：（一）符合拍卖业发展规划；（二）有固定的办公场所；（三）经营拍卖业务三年以上，最近两年连续盈利，其上年拍卖成交额超过五千万元人民币；或者上年拍卖成交额超过二亿元人民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4.【部门规章】《拍卖管理办法》（2004年商务部令第24号发布，2019年商务部令第1号修正）第十一条：拍卖企业分公司申请取得从事拍卖业务的许可，申请人需要提交下列材料:（一）申请报告；（二）企业法人营业执照副本（复印件）；（三）最近两年经会计师事务所审计的年度财务会计报表；（四）分公司负责人简历及有效身份证明；（五）拟聘任的拍卖师执业资格证书；（六）固定办公场所的产权证明或租用合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部门规章】《拍卖管理办法》（2004年商务部令第24号发布，2019年商务部令第1号修正）第十二条：企业及分公司申请取得从事拍卖业务的许可，按照下列程序办理：企业及分公司申请取得从事拍卖业务的许可，应当先经企业或分公司所在地市级商务主管部门审查后，报省级商务主管部门核准并颁发拍卖经营批准证书。</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仿宋_GB2312" w:hAnsi="宋体" w:eastAsia="仿宋_GB2312" w:cs="宋体"/>
                <w:color w:val="000000" w:themeColor="text1"/>
                <w:kern w:val="0"/>
                <w:sz w:val="20"/>
                <w:szCs w:val="20"/>
              </w:rPr>
            </w:pPr>
            <w:r>
              <w:rPr>
                <w:rFonts w:hint="eastAsia" w:eastAsia="仿宋_GB2312"/>
                <w:color w:val="000000" w:themeColor="text1"/>
                <w:kern w:val="0"/>
                <w:sz w:val="20"/>
                <w:szCs w:val="20"/>
              </w:rPr>
              <w:t>从事拍卖业务许可的实施机关为自治区商务厅（由设区的市级商务部门受理）。</w:t>
            </w:r>
          </w:p>
          <w:p>
            <w:pPr>
              <w:adjustRightInd w:val="0"/>
              <w:snapToGrid w:val="0"/>
              <w:spacing w:line="300" w:lineRule="exact"/>
              <w:ind w:firstLine="400" w:firstLineChars="200"/>
              <w:rPr>
                <w:rFonts w:eastAsia="仿宋_GB2312"/>
                <w:color w:val="000000" w:themeColor="text1"/>
                <w:kern w:val="0"/>
                <w:sz w:val="20"/>
                <w:szCs w:val="20"/>
              </w:rPr>
            </w:pP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对规模发卡企业违反单用途商业预付卡资金管理和信息报送相关规定行为的处罚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第二十四条：发卡企业应对预收资金进行严格管理。预收资金只能用于发卡企业主营业务，不得用于不动产、股权、证券等投资及借贷。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集团发卡企业预收资金余额不得超过其上一会计年度本集团营业收入的30%。本办法所称预收资金是指发卡企业通过发行单用途卡所预收的资金总额，预收资金余额是指预收资金扣减已兑付商品或服务价款后的余额。</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第二十七条：规模发卡企业、集团发卡企业和品牌发卡企业应确定一个商业银行账户作为资金存管账户，并与存管银行签订资金存管协议。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一条：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发卡企业填报的信息应当准确、真实、完整，不得故意隐瞒或虚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第三十七条第二款：发卡企业违反本办法第二十四条至第二十七条、第三十一条规定的，由备案机关责令限期改正；逾期仍不改正的，处以1万元以上3万元以下罚款。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对规模发卡企业未按规定建立业务处理系统并保障其运行质量相关行为的处罚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九条：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第三十八条：发卡企业违反本办法第二十九条（业务处理系统）规定，造成重大损失的，由备案机关处以1万元以上3万元以下罚款。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对特许人未按规定办理特许经营备案的处罚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八条：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第二十五条：特许人未依照本条例第八条的规定向商务主管部门备案的，由商务主管部门责令限期备案，处1万元以上5万元以下的罚款；逾期仍不备案的，处5万元以上10万元以下的罚款，并予以公告。</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4536" w:hRule="atLeast"/>
          <w:jc w:val="center"/>
        </w:trPr>
        <w:tc>
          <w:tcPr>
            <w:tcW w:w="33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7</w:t>
            </w:r>
          </w:p>
        </w:tc>
        <w:tc>
          <w:tcPr>
            <w:tcW w:w="52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对不具备规定条件从事特许经营活动的处罚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r>
              <w:rPr>
                <w:rFonts w:hint="eastAsia" w:eastAsia="仿宋_GB2312"/>
                <w:color w:val="000000" w:themeColor="text1"/>
                <w:kern w:val="0"/>
                <w:sz w:val="20"/>
                <w:szCs w:val="20"/>
              </w:rPr>
              <w:t>1.对特许人不具备规定条件从事特许经营活动的处罚</w:t>
            </w:r>
          </w:p>
        </w:tc>
        <w:tc>
          <w:tcPr>
            <w:tcW w:w="93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第七条：特许人从事特许经营活动应当拥有至少2个直营店，并且经营时间超过1年。</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第二十四条：特许人不具备本条例第七条第二款规定的条件，从事特许经营活动的，由商务主管部门责令改正，没收违法所得，处10万元以上50万元以下的罚款，并予以公告。</w:t>
            </w:r>
          </w:p>
        </w:tc>
        <w:tc>
          <w:tcPr>
            <w:tcW w:w="369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4536" w:hRule="atLeast"/>
          <w:jc w:val="center"/>
        </w:trPr>
        <w:tc>
          <w:tcPr>
            <w:tcW w:w="33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p>
        </w:tc>
        <w:tc>
          <w:tcPr>
            <w:tcW w:w="52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93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r>
              <w:rPr>
                <w:rFonts w:hint="eastAsia" w:eastAsia="仿宋_GB2312"/>
                <w:color w:val="000000" w:themeColor="text1"/>
                <w:kern w:val="0"/>
                <w:sz w:val="20"/>
                <w:szCs w:val="20"/>
              </w:rPr>
              <w:t>2.对企业以外的其他单位和个人作为特许人从事特许经营活动的处罚</w:t>
            </w:r>
          </w:p>
        </w:tc>
        <w:tc>
          <w:tcPr>
            <w:tcW w:w="93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第二十四条：企业以外的其他单位和个人作为特许人从事特许经营活动的，由商务主管部门责令停止非法经营活动，没收违法所得，并处10万元以上50万元以下的罚款。</w:t>
            </w:r>
          </w:p>
        </w:tc>
        <w:tc>
          <w:tcPr>
            <w:tcW w:w="36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7768"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对未按规定告知被特许人支付费用以及未按规定向商务主管部门报告上一年度合同订立情况的处罚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第十六条：特许人要求被特许人在订立特许经营合同前支付费用的，应当以书面形式向被特许人说明该部分费用的用途以及退还的条件、方式。</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第十九条：特许人应当在每年第一季度将其上一年度订立特许经营合同的情况向商务主管部门报告。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第二十六条：特许人违反本条例第十六条、第十九条规定的，由商务主管部门责令改正，可以处1万元以下的罚款；情节严重的，处1万元以上5万元以下的罚款，并予以公告。</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对未按规定向被特许人提供合同等相关信息的处罚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第二十一条：特许人应当在订立特许经营合同之日前至少30日，以书面形式向被特许人提供本条例第二十二条规定的信息，并提供特许经营合同文本。</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特许人向被特许人提供的信息应当真实、准确、完整，不得隐瞒有关信息，或者提供虚假信息。特许人向被特许人提供的信息发生重大变更的，应当及时通知被特许人。特许人隐瞒有关信息或者提供虚假信息的，被特许人可以解除特许经营合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八条：特许人违反本条例第二十一条、第二十三条规定，被特许人向商务主管部门举报并经查实的，由商务主管部门责令改正，处1万元以上5万元以下的罚款；情节严重的，处5万元以上10万元以下的罚款，并予以公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【部门规章】《商业特许经营信息披露管理办法》(2012年商务部令2012年第2号)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第十条特许人违反本办法有关规定的，被特许人有权向商务主管部门举报，经查实的，分别依据《条例》第二十六条、第二十七条、第二十八条予以处罚。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10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对对外劳务合作企业违法组织劳务人员赴国外工作的处罚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十条：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对对外劳务合作企业未按规定缴存或补足备用金相关行为的处罚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第四十一条：对外劳务合作企业未依照本条例规定缴存或者补足备用金的，由商务主管部门责令改正；拒不改正的，吊销其对外劳务合作经营资格证书。</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对发卡企业开展单用途商业预付卡未按规定备案行为的处罚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第三十六条：发卡企业违反本办法第七条规定的，由违法行为发生地县级以上地方人民政府商务主管部门责令限期改正；逾期仍不改正的，处以1万元以上3万元以下罚款。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对发卡企业或售卡企业违反单用途商业预付卡发行与服务相关规定行为的处罚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十四条：发卡企业或售卡企业应公示或向购卡人提供单用途卡章程，并应购卡人要求签订购卡协议。发卡企业或售卡企业应履行提示告知义务，确保购卡人知晓并认可单用途卡章程或协议内容。单用途卡章程和购卡协议应包括以下内容：（一）单用途卡的名称、种类和功能；（二）单用途卡购买、充值、使用、退卡方式，记名卡还应包括挂失、转让方式；（三）收费项目和标准；（四）当事人的权利、义务；（五）纠纷处理原则和违约责任；（六）相关法律法规规章和规范性文件规定的其他事项。第十五条：个人或单位购买（含充值，下同）记名卡的，或一次性购买1万元（含）以上不记名卡的，发卡企业或售卡企业应要求购卡人及其代理人出示有效身份证件，并留存购卡人及其代理人姓名或单位名称、有效身份证件号码和联系方式。个人有效身份证件包括居民身份证、户口簿、军人身份证件、武警身份证件、港澳台居民通行证、护照等。单位有效身份证件包括营业执照、事业单位法人证书、税务登记证、组织机构代码证等。</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第十六条：发卡企业和售卡企业应保存购卡人的登记信息5年以上。发卡企业和售卡企业应对购卡人及其代理人的身份信息和交易信息保密，除法律另有规定外，不得向第三方提供。</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七条：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发卡企业和售卡企业应严格按照国家有关规定开具发票。</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单张记名卡限额不得超过5000元，单张不记名卡限额不得超过1000元。单张单用途卡充值后资金余额不得超过前款规定的限额。第十九条：记名卡不得设有效期；不记名卡有效期不得少于3年。发卡企业或售卡企业对超过有效期尚有资金余额的不记名卡应提供激活、换卡等配套服务。</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条：使用单用途卡购买商品后需要退货的，发卡企业或受理企业应将资金退至原卡。原单用途卡不存在或退货后卡内资金余额超过单用途卡限额的，应退回至持卡人在同一发卡企业的同类单用途卡内。退货金额不足100元（含）的，可支付现金。</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发卡企业或售卡企业应依单用途卡章程或协议约定，提供退卡服务。办理退卡时，发卡企业或售卡企业应要求退卡人出示有效身份证件，并留存退卡人姓名、有效身份证件号码、退卡卡号、金额等信息。发卡企业或售卡企业应将资金退至与退卡人同名的银行账户内，并留存银行账户信息。卡内资金余额不足100元（含）的，可支付现金。</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第二十二条：发卡企业终止兑付未到期单用途卡的，发卡企业和售卡企业应向持卡人提供免费退卡服务，并在终止兑付日前至少30日在备案机关指定的媒体上进行公示。</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第三十七条第一款：发卡企业或售卡企业违反本办法第十四条至第二十二条规定的，由违法行为发生地县级以上地方人民政府商务主管部门责令限期改正；逾期仍不改正的，处以1万元以上3万元以下罚款。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对零售商存在违法促销行为的处罚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零售商促销行为管理办法》(2006年商务部、国家发展和改革委员会、公安部、国家税务总局、国家工商行政管理总局第18号令)第二十一条：各地商务、价格、税务、工商等部门依照法律法规及有关规定，在各自职责范围内对促销行为进行监督管理。对涉嫌犯罪的，由公安机关依法予以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第二十二条：对违反本办法规定的行为任何单位和个人均可向上述单位举报，相关单位接到举报后，应当依法予以查处。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零售商或者供应商违反本办法规定的，法律法规有规定的，从其规定；没有规定的，责令改正；有违法所得的，可处违法所得三倍以下罚款，但最高不超过三万元；没有违法所得的，可处一万元以下罚款；并可向社会予以公告。</w:t>
            </w:r>
          </w:p>
          <w:p>
            <w:pPr>
              <w:adjustRightInd w:val="0"/>
              <w:snapToGrid w:val="0"/>
              <w:spacing w:line="300" w:lineRule="exact"/>
              <w:ind w:firstLine="400" w:firstLineChars="200"/>
              <w:rPr>
                <w:rFonts w:eastAsia="仿宋_GB2312"/>
                <w:color w:val="000000" w:themeColor="text1"/>
                <w:kern w:val="0"/>
                <w:sz w:val="20"/>
                <w:szCs w:val="20"/>
              </w:rPr>
            </w:pP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对违反洗染业管理相关规定行为的处罚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洗染业管理办法》(2007年商务部、国家工商行政管理总局、国家环境保护总局令第5号)第三条：商务部对全国洗染行业进行指导、协调、监督和管理，地方各级商务主管部门负责本行政区域内洗染行业指导、协调、监督和管理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对违反美容美发业管理相关规定行为的处罚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美容美发业管理暂行办法》(2004年商务部令第19号)第十八条：各级商务主管部门对于违反本办法的美容美发经营者可以予以警告，令其限期改正；必要时，可以向社会公告。对依据有关法律、法规应予以处罚的，各级商务主管部门可以提请有关部门依法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7</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对违反餐饮业经营管理相关规定行为的处罚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餐饮业经营管理办法（试行）》（2014年国商务部、国家发展和改革委员会令第4号）第三条：商务部负责全国餐饮行业管理工作，制定行业规划、政策和标准，开展行业统计，规范行业秩序。地方各级人民政府商务主管部门负责本行政区域内餐饮业行业管理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商务、价格等主管部门应当自作出行政处罚决定之日起20个工作日内，公开行政处罚决定书的主要内容，但行政处罚决定书中涉及国家秘密、商业秘密、个人隐私的内容依法不予公开。</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违反家电维修服务业管理相关规定行为的处罚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【部门规章】《家电维修服务业管理办法》（2012年商务部令第7号）第九条：家电维修经营者和从业人员应恪守职业道德，不得有下列行为：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（一）虚列、夸大、伪造维修服务项目或内容；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（二）隐瞒、掩饰因维修服务导致用户产品损毁的事实；</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（三）虚报故障部件，故意替换性能正常的部件；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（四）冒用家电生产者商标或特约维修标识。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对从事旧电器电子产品收购的经营者未按规定进行产品收购登记和建立相关档案行为的处罚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旧电器电子产品流通管理办法》(2013年国商务部令第1号)第七条：经营者收购旧电器电子产品时应当对收购产品进行登记。登记信息应包括旧电器电子产品的品名、商标、型号、出售人原始购买凭证或者出售人身份信息等。</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第八条：经营者应当建立旧电器电子产品档案资料。档案资料应当包括产品的收购登记信息，质量性能状况、主要部件的维修、翻新情况和后配件的商标、生产者信息等情况。</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第十五条：旧电器电子产品市场应当建立旧电器电子经营者档案，如实记录市场内经营者身份信息和信用信息。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第十九条：经营者违反本办法第七条、第八条、第十五条规定的，由县级以上地方商务主管部门责令改正；逾期不改正的，可处二千元以上一万元以下罚款。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对旧电器电子产品经营者未按规定进行产品标识标注、设立销售台账、提供合法的销售凭证和三包服务、履行保密义务和明示义务或未如实提供、报送相关信息和数据行为的处罚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旧电器电子产品流通管理办法》(2013年国商务部令第1号)第九条：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退出使用的涉密旧电器电子产品的流通活动应当符合《保守国家秘密法》和国家有关保密规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第十一条：待售的旧电器电子产品应在显著位置标识为旧货。</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第十二条：经营者销售旧电器电子产品时，应当向购买者明示产品质量性能状况、主要部件维修、翻新等有关情况。严禁经营者以翻新产品冒充新产品出售。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经营者应当向购买者出具销售凭证或发票，并应当提供不少于3个月的免费包修服务，交易双方另有约定的除外。旧电器电子产品仍在三包有效期内的，经营者应依法履行三包责任。经营者应当设立销售台账，对销售情况进行如实、准确记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县级以上地方商务主管部门应当根据本地实际，建立定期检查及不定期抽查制度，及时发现和处理有关问题。经营者和旧电器电子产品市场应配合商务主管部门的监督检查，如实提供信息和材料。县级以上地方商务主管部门应当组织本行政区域内的行业统计工作，经营者应按照商务主管部门要求及时报送相关信息和数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2</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对经营者违反规定收购、销售国家禁止的旧电器电子产品行为的处罚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旧电器电子产品流通管理办法》(2013年国商务部令第1号)第十条：禁止经营者收购下列旧电器电子产品：（一）依法查封、扣押的；二）明知是通过盗窃、抢劫、诈骗、走私或其他违法犯罪手段获得的；（三）不能说明合法来源的；（四）其他法律、行政法规禁止收购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禁止经营者销售下列旧电器电子产品：（一）丧失全部使用功能或达到国家强制报废条件的；（二）不符合保障人体健康和人身、财产安全等强制性标准要求的；（三）其他法律、行政法规禁止销售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2</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对家庭服务机构未公开服务项目、收费标准和投诉监督电话的处罚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第九条：家庭服务机构应在经营场所醒目位置悬挂有关证照，公开服务项目、收费标准和投诉监督电话。</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第三十二条：家庭服务机构违反本办法第九条规定，未公开服务项目、收费标准和投诉监督电话的，由商务主管部门责令改正；拒不改正的，可处5000元以下罚款。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对家庭服务机构未按规定建立工作管理制度及不妥善处理消费者和家庭服务员之间的投诉的处罚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第十条：家庭服务机构须建立家庭服务员工作档案，接受并协调消费者和家庭服务员投诉，建立家庭服务员服务质量跟踪管理制度。</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第三十三条：家庭服务机构违反本办法第十条规定，未按要求建立工作档案、跟踪管理制度，对消费者和家庭服务员之间的投诉不予妥善处理的，由商务主管部门责令改正；拒不改正的，可处2万元以下罚款。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对家庭服务机构不按规定建立和报送经营档案信息的处罚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第十一条：家庭服务机构应按照县级以上商务主管部门要求及时准确地提供经营档案信息。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第二十六条：商务部建立家庭服务业信息报送系统。家庭服务机构应按要求及时报送经营情况信息，具体报送内容由商务部另行规定。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第三十四条：家庭服务机构违反本办法第十一条、第二十六条规定，未按要求提供信息的，由商务主管部门责令改正；拒不改正的，可处1万元以下罚款。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对家庭服务机构违反规定提供家庭服务活动或不按规定管理家庭服务员行为的处罚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家庭服务机构在家庭服务活动中不得有下列行为：（一）以低于成本价格或抬高价格等手段进行不正当竞争；（二）不按服务合同约定提供服务；（三）唆使家庭服务员哄抬价格或有意违约骗取服务费用；（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五条：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对未按要求订立家庭服务合同、拒绝家庭服务员获取家庭服务合同的处罚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从事家庭服务活动，家庭服务机构或家庭服务员应当与消费者以书面形式签订家庭服务合同。第十四条：家庭服务合同应至少包括以下内容：（一）家庭服务机构的名称、地址、负责人、联系方式和家庭服务员的姓名、身份证号码、健康状况、技能培训情况、联系方式等信息；消费者的姓名、身份证号码、住所、联系方式等信息；（二）服务地点、内容、方式和期限等；（三）服务费用及其支付形式；（四）各方权利与义务、违约责任与争议解决方式等。</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第十五条：家庭服务机构应当明确告知涉及家庭服务员利益的服务合同内容，应允许家庭服务员查阅、复印家庭服务合同，保护其合法权益。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六条：家庭服务机构违反本办法第十三条、第十四条、第十五条规定，未按要求订立家庭服务合同的，拒绝家庭服务员获取家庭服务合同的，由商务主管部门或有关部门责令改正；拒不改正的，可处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27</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对零售商供应商交易中不公平行为的处罚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零售商供应商公平交易管理办法》（2006年商务部、发展改革委、公安部、税务总局、工商总局第17号令）第二十一条：各地商务、价格、税务、工商等部门依照法律法规及本办法，在各自的职责范围内对本办法规定的行为进行监督管理。对涉嫌犯罪的，由公安机关依法予以查处。县级以上商务主管部门应会同同级有关部门对零售商供应商公平交易行为实行动态监测，进行风险预警，及时采取防范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第二十二条：对违反本办法规定的行为任何单位和个人均可向上述部门举报，相关部门接到举报后，应当依法予以查处。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第二十四条：县级以上商务、价格、税务、工商等部门发现零售商涉嫌骗取供应商货款的，应当将其涉嫌犯罪的线索及时移送当地公安机关。公安机关应及时开展调查工作，涉嫌犯罪的，依法立案侦查。</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对生活必需品销售和储运单位及其人员违反生活必需品市场供应应急管理规定行为的处罚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生活必需品市场供应应急管理办法》(2011年商务部令第4号)第三十八条：生活必需品销售和储运单位及其人员有下列行为之一的，由县级以上地方人民政府有关主管部门根据情节，依法责令改正、没收违法所得、罚款、警告；造成严重危害后果，构成犯罪的，提请司法机关依法追究刑事责任：（一）未按照规定履行市场异常波动报告职责，隐瞒、缓报、谎报或者漏报的；（二）未按照规定报送监测资料的；（三）购进、销售假冒伪劣商品及囤积居奇、哄抬物价的；（四）未按照规定及时采取组织货源等预防控制措施的；（五）拒绝服从商务主管部门调遣的；（六）拒绝、阻碍或者不配合现场调查、资料收集及监督检查的。</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对经营公司未按相关规定办理劳务人员出国手续的处罚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办理劳务人员出国手续的办法》（2002年对外经贸部、外交部、公安部第2号令）第十七条：经营公司违反本办法的，由地方外经贸主管部门给予警告处罚，有违法所得的，处以人民币30000元以下罚款；无违法所得的，处以人民币10000元以下罚款。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对对外劳务合作企业未按规定安排劳务人员相关行为的处罚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二条：：对外劳务合作企业有下列情形之一的，由商务主管部门责令改正；拒不改正的，处5万元以上10万元以下的罚款，并对其主要负责人处1万元以上3万元以下的罚款：（一）未安排劳务人员接受培训，组织劳务人员赴国外工作；（二）未依照本条例规定为劳务人员购买在国外工作期间的人身意外伤害保险；（三）未依照本条例规定安排随行管理人员。</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对对外劳务合作企业违规安排人员赴外工作和在国外发生突发事件时不及时处理相关行为的处罚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三条：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有前款第四项规定情形，构成犯罪的，依法追究刑事责任。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对对外劳务合作企业未按规定执行备案手续和未制定突发事件应急预案相关行为的处罚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五条：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对违反商品现货市场交易相关规定行为的处罚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商品现货市场交易特别规定（试行）》（2013年商务部、中国人民银行、中国证券监督管理委员会令第3号）第十一条：市场经营者应当履行下列职责：（一）提供交易的场所、设施及相关服务；（二）按照本规定确定的交易方式和交易对象，建立健全交易、交收、结算、仓储、信息发布、风险控制、市场管理等业务规则与各项规章制度；（三）法律法规规定的其他职责。</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第十二条：市场经营者应当公开业务规则和规章制度。制定、修改和变更业务规则和规章制度，应当在合理时间内提前公示。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第十三条：商品现货市场应当制定应急预案。出现异常情况时，应当及时采取有效措施，防止出现市场风险。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第十四条：市场经营者应当采取合同约束、系统控制、强化内部管理等措施，加强资金管理力度。市场经营者不得以任何形式侵占或挪用交易者的资金。</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第十七条：市场经营者应当建立完善商品信息发布制度，公布交易商品的名称、数量、质量、规格、产地等相关信息，保证信息的真实、准确，不得发布虚假信息。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第十八条：采用现代信息化技术开展交易活动的，市场经营者应当实时记录商品仓储、交易、交收、结算、支付等相关信息，采取措施保证相关信息的完整和安全，并保存五年以上。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第十九条：市场经营者不得擅自篡改、销毁相关信息和资料。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第二十一条：市场经营者应当根据相关部门的要求报送有关经营信息与资料。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市场经营者违反第十一条、第十二条、第十三条、第十四条、第十七条、第十八条、第十九条、第二十一条规定，由县级以上商务主管部门会同有关部门责令改正。逾期不改的，处一万元以上三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对汽车销售、服务者违法经营的处罚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汽车销售管理办法》（2017年商务部令第1号）第十条：经销商应当在经营场所以适当形式明示销售汽车、配件及其他相关产品的价格和各项服务收费标准，不得在标价之外加价销售或收取额外费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第十一条：经销商应当在经营场所明示所出售的汽车产品质量保证、保修服务及消费者需知悉的其他售后服务政策，出售家用汽车产品的经销商还应当在经营场所明示家用汽车产品的“三包”信息。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第十二条：经销商出售未经供应商授权销售的汽车，或者未经境外汽车生产企业授权销售的进口汽车，应当以书面形式向消费者作出提醒和说明，并书面告知向消费者承担相关责任的主体。</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未经供应商授权或者授权终止的，经销商不得以供应商授权销售汽车的名义从事经营活动。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第十四条：供应商、经销商不得限定消费者户籍所在地，不得对消费者限定汽车配件、用品、金融、保险、救援等产品的提供商和售后服务商，但家用汽车产品“三包”</w:t>
            </w:r>
            <w:r>
              <w:rPr>
                <w:rFonts w:hint="eastAsia" w:eastAsia="仿宋_GB2312"/>
                <w:color w:val="000000" w:themeColor="text1"/>
                <w:spacing w:val="-4"/>
                <w:kern w:val="0"/>
                <w:sz w:val="20"/>
                <w:szCs w:val="20"/>
              </w:rPr>
              <w:t>服务、召回等由供应商承担费用时使用的配件和服务除外。</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经销商销售汽车时不得强制消费者购买保险或者强制为其提供代办车辆注册登记等服务。</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第十五条：经销商向消费者销售汽车时，应当核实登记消费者的有效身份证明，签订销售合同，并如实开具销售发票。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七条第一款：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供应商、经销商应当建立健全消费者投诉制度，明确受理消费者投诉的具体部门和人员，并向消费者明示投诉渠道。投诉的受理、转交以及处理情况应当自收到投诉之日起7个工作日内通知投诉的消费者。</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第二十条：第二款供应商、经销商应当在本企业网站或经营场所公示与其合作的售后服务商名单。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第二十一条：供应商不得限制配件生产商（进口产品为进口商）的销售对象，不得限制经销商、售后服务商转售配件，有关法律法规规章及其配套的规范性文件另有规定的除外。</w:t>
            </w:r>
          </w:p>
          <w:p>
            <w:pPr>
              <w:adjustRightInd w:val="0"/>
              <w:snapToGrid w:val="0"/>
              <w:spacing w:line="300" w:lineRule="exact"/>
              <w:ind w:firstLine="384" w:firstLineChars="200"/>
              <w:rPr>
                <w:rFonts w:eastAsia="仿宋_GB2312"/>
                <w:color w:val="000000" w:themeColor="text1"/>
                <w:kern w:val="0"/>
                <w:sz w:val="20"/>
                <w:szCs w:val="20"/>
              </w:rPr>
            </w:pPr>
            <w:r>
              <w:rPr>
                <w:rFonts w:hint="eastAsia" w:eastAsia="仿宋_GB2312"/>
                <w:color w:val="000000" w:themeColor="text1"/>
                <w:spacing w:val="-4"/>
                <w:kern w:val="0"/>
                <w:sz w:val="20"/>
                <w:szCs w:val="20"/>
              </w:rPr>
              <w:t>供应商应当及时向社会公布停产或者停止销售的车型，并保证其后至少10年的配件供应以及相应的售后服务。</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第二款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第二十四条：供应商可以要求经销商为本企业品牌汽车设立单独展区，满足经营需要和维护品牌形象的基本功能，但不得对经销商实施下列行为：</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（一）要求同时具备销售、售后服务等功能；</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（二）规定整车、配件库存品种或数量，或者规定汽车销售数量，但双方在签署授权合同或合同延期时就上述内容书面达成一致的除外；</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（三）限制经营其他供应商商品；</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（四）限制为其他供应商的汽车提供配件及其他售后服务；</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（五）要求承担以汽车供应商名义实施的广告、车展等宣传推广费用，或者限定广告宣传方式和媒体；</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（六）限定不合理的经营场地面积、建筑物结构以及有偿设计单位、建筑单位、建筑材料、通用设备以及办公设施的品牌或者供应商；</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（七）搭售未订购的汽车、配件及其他商品；</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（八）干涉经销商人力资源和财务管理以及其他属于经销商自主经营范围内的活动；</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（九）限制本企业汽车产品经销商之间相互转售。</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第二十五条：供应商制定或实施营销奖励等商务政策应当遵循公平、公正、透明的原则。</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供应商应当向经销商明确商务政策的主要内容，对于临时性商务政策，应当提前以双方约定的方式告知；对于被解除授权的经销商，应当维护经销商在授权期间应有的权益，不得拒绝或延迟支付销售返利。</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第二十六条：除双方合同另有约定外,供应商在经销商获得授权销售区域内不得向消费者直接销售汽车。</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七条：供应商、经销商应当自取得营业执照之日起90日内通过国务院商务主管部门全国汽车流通信息管理系统备案基本信息。供应商、经销商备案的基本信息发生变更的，应当自信息变更之日起30日内完成信息更新。</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本办法实施以前已设立的供应商、经销商应当自本办法实施之日起90日内按前款规定备案基本信息。</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供应商、经销商应当按照国务院商务主管部门的要求，及时通过全国汽车流通信息管理系统报送汽车销售数量、种类等信息。</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第二十八条：经销商应当建立销售汽车、用户等信息档案，准确、及时地反映本区域销售动态、用户要求和其他相关信息。汽车销售、用户等信息档案保存期不得少于10年</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第三十三条：违反本办法第十一条、第十五条、第十八条、第二十条第二款、第二十七条、第二十八条有关规定的，由县级以上地方商务主管部门责令改正，并可给予警告或1万元以下罚款。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对其他发卡企业违反单用途商业预付卡资金管理和信息报送相关规定行为的处罚</w:t>
            </w:r>
          </w:p>
          <w:p>
            <w:pPr>
              <w:adjustRightInd w:val="0"/>
              <w:snapToGrid w:val="0"/>
              <w:spacing w:line="300" w:lineRule="exact"/>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第二十四条：发卡企业应对预收资金进行严格管理。预收资金只能用于发卡企业主营业务，不得用于不动产、股权、证券等投资及借贷。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集团发卡企业预收资金余额不得超过其上一会计年度本集团营业收入的30%。本办法所称预收资金是指发卡企业通过发行单用途卡所预收的资金总额，预收资金余额是指预收资金扣减已兑付商品或服务价款后的余额。</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第二十七条：规模发卡企业、集团发卡企业和品牌发卡企业应确定一个商业银行账户作为资金存管账户，并与存管银行签订资金存管协议。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一条：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发卡企业填报的信息应当准确、真实、完整，不得故意隐瞒或虚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第三十七条第二款：发卡企业违反本办法第二十四条至第二十七条、第三十一条规定的，由备案机关责令限期改正；逾期仍不改正的，处以1万元以上3万元以下罚款。</w:t>
            </w:r>
          </w:p>
          <w:p>
            <w:pPr>
              <w:adjustRightInd w:val="0"/>
              <w:snapToGrid w:val="0"/>
              <w:spacing w:line="300" w:lineRule="exact"/>
              <w:ind w:firstLine="400" w:firstLineChars="200"/>
              <w:rPr>
                <w:rFonts w:eastAsia="仿宋_GB2312"/>
                <w:color w:val="000000" w:themeColor="text1"/>
                <w:kern w:val="0"/>
                <w:sz w:val="20"/>
                <w:szCs w:val="20"/>
              </w:rPr>
            </w:pP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对其他发卡企业未按规定建立业务处理系统并保障其运行质量相关行为的处罚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2016年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九条：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第三十八条：发卡企业违反本办法第二十九条（业务处理系统）规定，造成重大损失的，由备案机关处以1万元以上3万元以下罚款。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37</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行政强制</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扣押易制毒化学品进出口相关证据材料、违法物品和查封有关场所</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1.【行政法规】《易制毒化学品管理条例》(2005年国务院令第445号发布,2018年国务院令第703号修订）</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前款规定的行政主管部门在进行易制毒化学品监督检查时，可以依法查看现场、查阅和复制有关资料、记录有关情况、扣押相关的证据材料和违法物品；必要时，可以临时查封有关场所。</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部门规章】《易制毒化学品进出口管理规定》（2006年商务部令第7号,2015年商务部令第2号修订）第四条：县级以上商务主管部门负责本地区易制毒化学品进出口监督检查工作。第四十一条：县级以上商务主管部门应当按照本规定和其他有关法律、法规规定，严格履行对本地区易制毒化学品进出口的监督检查职责，依法查处违法行为。</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第四十二条：县级以上商务主管部门对经营者进行监督检查时，可以依法查看现场、查阅和复制有关资料、记录有关情况、扣押相关的证据材料和物品；必要时，可以临时查封有关场所。</w:t>
            </w:r>
          </w:p>
        </w:tc>
        <w:tc>
          <w:tcPr>
            <w:tcW w:w="369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1.取得批准责任：向行政机关负责人报告，由2名以上执法人员执行。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2.告知责任：执法人员通知当事人到场且出示行政执法证件，当场告知当事人采取行政强制措施的理由、依据以及当事人依法想要的权利、救济途径，听取当事人的陈述和身边。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3.决定阶段责任：做出行政强制决定。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4.执行阶段责任：执行并交付查封、扣押决定书和清单。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5.其他法律法规规章文件应履行的责任。</w:t>
            </w:r>
          </w:p>
        </w:tc>
        <w:tc>
          <w:tcPr>
            <w:tcW w:w="7768"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【法律】《中华人民共和国行政强制法》第十八条：行政机关实施行政强制措施应当遵守下列规定：</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（一）实施前须向行政机关负责人报告并经批准；</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（二）由两名以上行政执法人员实施；</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（三）出示执法身份证件；</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（四）通知当事人到场；</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（五）当场告知当事人采取行政强制措施的理由、依据以及当事人依法享有的权利、救济途径；</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（六）听取当事人的陈述和申辩；</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（七）制作现场笔录；</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（八）现场笔录由当事人和行政执法人员签名或者盖章，当事人拒绝的，在笔录中予以注明；</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（九）当事人不到场的，邀请见证人到场，由见证人和行政执法人员在现场笔录上签名或者盖章；</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（十）法律、法规规定的其他程序。</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第二十四条：行政机关决定实施查封、扣押的，应当履行本法第十八条规定的程序，制作并当场交付查封、扣押决定书和清单。</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查封、扣押决定书应当载明下列事项：</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（一）当事人的姓名或者名称、地址；</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（二）查封、扣押的理由、依据和期限；</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（三）查封、扣押场所、设施或者财物的名称、数量等；</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（四）申请行政复议或者提起行政诉讼的途径和期限；</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（五）行政机关的名称、印章和日期。</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查封、扣押清单一式二份，由当事人和行政机关分别保存。</w:t>
            </w:r>
          </w:p>
        </w:tc>
        <w:tc>
          <w:tcPr>
            <w:tcW w:w="567" w:type="dxa"/>
            <w:tcBorders>
              <w:top w:val="single" w:color="auto" w:sz="4" w:space="0"/>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发卡企业和售卡企业单用途卡业务活动、内部控制和风险状况等监督检查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三十三条：商务部和地方人民政府商务主管部门应对发卡企业和售卡企业的单用途卡业务活动、内部控制和风险状况等进行定期或不定期的现场及非现场检查。发卡企业和售卡企业应配合商务主管部门的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第三十四条：商务部应建立健全“单用途商业预付卡业务信息系统”。地方人民政府商务主管部门应充分运用信息化手段加强对发卡企业的监督管理。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第三十五条：商务部和地方人民政府商务主管部门应通过12313商务举报投诉服务平台接受与本办法有关的举报和投诉。</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单用途商业预付卡管理办法（试行）》（2012年商务部令第9号公布，2016年商务部令第2号修正）第三十三条：商务部和地方人民政府商务主管部门应对发卡企业和售卡企业的单用途卡业务活动、内部控制和风险状况等进行定期或不定期的现场及非现场检查。发卡企业和售卡企业应配合商务主管部门的检查。</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第三十四条：商务部应建立健全“单用途商业预付卡业务信息系统”。地方人民政府商务主管部门应充分运用信息化手段加强对发卡企业的监督管理。</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650"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报废机动车回收企业监督检查</w:t>
            </w: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报废机动车回收管理办法》（2019国务院令第715号）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在监督检查中发现报废机动车回收企业不具备本办法规定的资质认定条件的，应当责令限期改正；拒不改正或者逾期未改正的，由原发证部门吊销资质认定书。</w:t>
            </w:r>
          </w:p>
        </w:tc>
        <w:tc>
          <w:tcPr>
            <w:tcW w:w="369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报废机动车回收管理办法》（2019年国务院令第715号）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006"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商业特许经营监督检查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三条：本条例所称商业特许经营（以下简称特许经营），是指拥有注册商标、企业标志、专利、专有技术等经营资源的企业（以下称特许人），以合同形式将其拥有的经营资源许可其他经营者（以下称被特许人）使用，被特许人按照合同约定在统一的经营模式下开展经营，并向特许人支付特许经营费用的经营活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企业以外的其他单位和个人不得作为特许人从事特许经营活动。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091"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拍卖业监督检查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【法律】《中华人民共和国拍卖法》第五条：国务院负责管理拍卖业的部门对全国拍卖业实施监督管理。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省、自治区、直辖市的人民政府和设区的市的人民政府负责管理拍卖业的部门对本行政区域内的拍卖业实施监督管理。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第十条：拍卖人是指依照本法和《中华人民共和国公司法》设立的从事拍卖活动的企业法人。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部门规章】《拍卖管理办法》（2004年商务部令第24号发布，2019年商务部令2第1号修正）第四条：商务部是拍卖行业主管部门，对全国拍卖业实施监督管理。省、自治区、直辖市人民政府（以下简称省级）和设区的市人民政府(以下简称市级)商务主管部门对本行政区域内的拍卖业实施监督管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拍卖管理办法》（2004年商务部令第24号发布，2019年商务部令第1号修正）第四条：商务部是拍卖行业主管部门，对全国拍卖业实施监督管理。省、自治区、直辖市人民政府（以下简称省级）和设区的市人民政府(以下简称市级)商务主管部门对本行政区域内的拍卖业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397"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对外劳务合作监督检查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县级以上地方人民政府商务主管部门负责本行政区域的对外劳务合作监督管理工作，其他有关部门在各自职责范围内负责对外劳务合作监督管理的相关工作。</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对外劳务合作管理条例》（2012年国务院令第620号）第四条：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5630"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对餐饮行业开展反食品浪费相关行为的监督检查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餐饮业经营管理办法（试行）》（2014年商务部、国家发展和改革委员会令第4号）第十八条：县级以上地方商务主管部门应当定期对餐饮行业开展反食品浪费相关行为进行监督检查，并给予相应奖励或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餐饮业经营管理办法（试行）》（2014年商务部、国家发展和改革委员会令第4号发布）第十八条：县级以上地方商务主管部门应当定期对餐饮行业开展反食品浪费相关行为进行监督检查，并给予相应奖励或处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7054"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易制毒化学品进出口监督检查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行政法规】《易制毒化学品管理条例》(2005年国务院令第445号发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【部门规章】《易制毒化学品进出口管理规定》（2006年商务部令第7号,2015年商务部令第2号修订）第四条：县级以上商务主管部门负责本地区易制毒化学品进出口监督检查工作。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第四十一条：县级以上商务主管部门应当按照本规定和其他有关法律、法规规定，严格履行对本地区易制毒化学品进出口的监督检查职责，依法查处违法行为。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第四十二条：县级以上商务主管部门对经营者进行监督检查时，可以依法查看现场、查阅和复制有关资料、记录有关情况、扣押相关的证据材料和物品；必要时，可以临时查封有关场所。</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易制毒化学品管理条例》(2005年国务院令第445号发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8033"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45</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行政确认</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自由进出口技术合同登记</w:t>
            </w: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【法律】《中华人民共和国对外贸易法》第十五条第三款：进出口属于自由进出口的技术，应当向国务院对外贸易主管部门或者其委托的机构办理合同备案登记。</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【行政法规】《中华人民共和国技术进出口管理条例》（2001年国务院令第331号发布，2019年国务院令第709号修订）第十七条第一款：对属于自由进口的技术，实行合同登记管理。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w:t>
            </w:r>
            <w:r>
              <w:rPr>
                <w:rFonts w:eastAsia="仿宋_GB2312"/>
                <w:color w:val="000000" w:themeColor="text1"/>
                <w:kern w:val="0"/>
                <w:sz w:val="20"/>
                <w:szCs w:val="20"/>
              </w:rPr>
              <w:t>.</w:t>
            </w:r>
            <w:r>
              <w:rPr>
                <w:rFonts w:hint="eastAsia" w:eastAsia="仿宋_GB2312"/>
                <w:color w:val="000000" w:themeColor="text1"/>
                <w:kern w:val="0"/>
                <w:sz w:val="20"/>
                <w:szCs w:val="20"/>
              </w:rPr>
              <w:t>【部门规章】《技术进出口合同登记管理办法》（2009年商务部令第3号）第五条：各省、自治区、直辖市和计划单列市商务主管部门负责对本办法第四条以外的自由进出口技术合同进行登记管理。中央管理企业的自由进出口技术合同，按属地原则到各省、自治区、直辖市和计划单列市商务主管部门办理登记。各省、自治区、直辖市和计划单列市商务主管部门可授权下一级商务主管部门对自由进出口技术合同进行登记管理。</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规范性文件】《自治区商务厅关于下放自由类技术进出口合同登记管理权限的通知》（桂商加贸发﹝2016﹞18号）：经请示商务部同意，自治区商务厅将自由类技术进出口合同登记管理权限下放至各市商务局（委），由市商务局向企业颁发《技术进出口合同登记证书》要加盖各市商务局（委）的行政公章。</w:t>
            </w:r>
          </w:p>
        </w:tc>
        <w:tc>
          <w:tcPr>
            <w:tcW w:w="369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1.受理责任：应将事项的条件、程序、范围等情况公开，对相对人申请资格、材料规范、完整及有效等方面进行审查，并依法做出是否受理的决定。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2.审核（决定）责任：对申请材料的真实性、合法性和有效性进行审查，并依法做出相应的决定。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3.监管责任：对行政工作人员进行依法执法情况开展监督检查。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4.其他法律法规规章文件规定应履行的责任。</w:t>
            </w:r>
          </w:p>
        </w:tc>
        <w:tc>
          <w:tcPr>
            <w:tcW w:w="7768"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技术进出口合同登记管理办法》（商务部令2009年第3号）第八条：国家对自由进出口技术合同实行网上在线登记管理。技术进出口经营者应登陆商务部政府网站上的"技术进出口合同信息管理系统"(网址：jsjckqy.fwmys.mofcom.gov.cn)进行合同登记，并持技术进（出）口合同登记申请书、技术进（出）口合同副本（包括中文译本）和签约双方法律地位的证明文件，到商务主管部门履行登记手续。商务主管部门在收到上述文件起3个工作日内，对合同登记内容进行核对，并向技术进出口经营者颁发《技术进口合同登记证》或《技术出口合同登记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部门规章】《技术进出口合同登记管理办法》（商务部令2009年第3号）第九条：对申请文件不符合《中华人民共和国技术进出口管理条例》第十八条、第四十条规定要求或登记记录与合同内容不一致的，商务主管部门应当在收到申请文件的3个工作日内通知技术进出口经营者补正、修改，并在收到补正的申请文件起3个工作日内，对合同登记的内容进行核对，颁发《技术进口合同登记证》或《技术出口合同登记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3.同2.</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部门规章】《技术进出口合同登记管理办法》（商务部令2009年第3号）第十五条：各级商务主管部门应加强对技术进出口合同登记管理部门和人员的管理，建立健全合同登记岗位责任制，加强业务培训和考核。</w:t>
            </w:r>
          </w:p>
        </w:tc>
        <w:tc>
          <w:tcPr>
            <w:tcW w:w="567"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4385"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行政奖励</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对参加生活必需品市场异常波动应急处理作出贡献的单位和人员的奖励</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【部门规章】《生活必需品市场供应应急管理办法》（2011年商务部令第4号）第七条：县级以上商务主管部门，可对参加市场异常波动应急处理作出贡献的单位和人员，给予表彰和奖励。</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1.前期阶段责任：收集整理在参加生活必需品市场异常波动应急处理工作中作出贡献的组织或者个人相关材料，及时呈报处理。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2.审查阶段责任：审查材料的真伪及作用，提出审查意见。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3.决定阶段责任：决定是否对在生活必需品市场异常波动应急处理作出贡献组织或者个人的奖励标准和方式。</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4.执行阶段责任：兑现奖励。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1.【部门规章】《生活必需品市场供应应急管理办法》（2011年商务部令第4号）第七条：县级以上商务主管部门，可对参加市场异常波动应急处理作出贡献的单位和人员，给予表彰和奖励。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2.同1.</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3.同1.</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4.同1.</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7153"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47</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对外劳务服务（劳动）合同、劳务合作合同副本及劳务人员名单备案</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对外劳务合作企业应当自与劳务人员订立服务合同或者劳动合同之日起10个工作日内，将服务合同或者劳动合同、劳务合作合同副本以及劳务人员名单报负责审批的商务主管部门备案。负责审批的商务主管部门应当将用工项目、国外雇主的有关信息以及劳务人员名单报至国务院商务主管部门。商务主管部门发现服务合同或者劳动合同、劳务合作合同未依照本条例规定载明必备事项的，应当要求对外劳务合作企业补正。</w:t>
            </w:r>
          </w:p>
          <w:p>
            <w:pPr>
              <w:widowControl/>
              <w:spacing w:line="300" w:lineRule="exact"/>
              <w:ind w:firstLine="400" w:firstLineChars="200"/>
              <w:jc w:val="left"/>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【规范性文件】《广西壮族自治区人民政府关于取消下放调整一批行政审批项目的决定》（桂政发﹝2014﹞69号）附件2第48条款：</w:t>
            </w:r>
            <w:r>
              <w:rPr>
                <w:rFonts w:hint="eastAsia" w:eastAsia="仿宋_GB2312" w:cs="宋体"/>
                <w:color w:val="000000" w:themeColor="text1"/>
                <w:kern w:val="0"/>
                <w:sz w:val="20"/>
                <w:szCs w:val="20"/>
              </w:rPr>
              <w:t>对外劳务服务（劳动）合同、劳务合作合同副本及劳务人员名单备案</w:t>
            </w:r>
            <w:r>
              <w:rPr>
                <w:rFonts w:hint="eastAsia" w:eastAsia="仿宋_GB2312"/>
                <w:color w:val="000000" w:themeColor="text1"/>
                <w:kern w:val="0"/>
                <w:sz w:val="20"/>
                <w:szCs w:val="20"/>
              </w:rPr>
              <w:t>，将自治区管理权限委托下放设区市商务行政主管部门实施。</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2.审查阶段责任：对初审材料进行审核，提出初审意见。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3.备案阶段责任：企业提交的备案材料齐全，准予备案；不符合的，不予备案并书面告知企业。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4.事后监管阶段责任：协助处理对外劳务合作突发事件。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行政法规】《对外劳务合作管理条例》（2012年国务院令第620号）第二十六条：对外劳务合作企业应当自与劳务人员订立服务合同或者劳动合同之日起10个工作日内，将服务合同或者劳动合同、劳务合作合同副本以及劳务人员名单报负责审批的商务主管部门备案。负责审批的商务主管部门应当将用工项目、国外雇主的有关信息以及劳务人员名单报至国务院商务主管部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3.同2。</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行政法规】《对外劳务合作管理条例》（2012年国务院令第620号）第三十六条：国务院有关部门、有关县级以上地方人民政府应当建立健全对外劳务合作突发事件预警、防范和应急处置机制，制定对外劳务合作突发事件应急预案。对外劳务合作突发事件应急处置由组织劳务人员赴国外工作的单位或者个人所在地的省、自治区、直辖市人民政府负责，劳务人员户籍所在地的省、自治区、直辖市人民政府予以配合。</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5419"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48</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对外劳务合作企业停止开展对外劳务合作后对其派出的尚在国外工作的劳务人员安排方案的备案</w:t>
            </w: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对外劳务合作企业停止开展对外劳务合作的，应当对其派出的尚在国外工作的劳务人员作出妥善安排，并将安排方案报负责审批的商务主管部门备案。负责审批的商务主管部门应当将安排方案报至国务院商务主管部门，国务院商务主管部门应当及时通报中国驻用工项目所在国使馆、领馆。</w:t>
            </w:r>
          </w:p>
        </w:tc>
        <w:tc>
          <w:tcPr>
            <w:tcW w:w="369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2.审查阶段责任：对初审材料进行审核，提出初审意见。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3.备案阶段责任：企业提交的备案材料齐全，准予备案；不符合的，不予备案并书面告知企业。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4.事后监管阶段责任：协助处理对外劳务合作突发事件。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行政法规】《对外劳务合作管理条例》（2012年国务院令第620号）第十九条：对外劳务合作企业停止开展对外劳务合作的，应当对其派出的尚在国外工作的劳务人员作出妥善安排，并将安排方案报负责审批的商务主管部门备案。负责审批的商务主管部门应当将安排方案报至国务院商务主管部门，国务院商务主管部门应当及时通报中国驻用工项目所在国使馆、领馆。</w:t>
            </w:r>
          </w:p>
        </w:tc>
        <w:tc>
          <w:tcPr>
            <w:tcW w:w="567"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237"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w:t>
            </w:r>
            <w:r>
              <w:rPr>
                <w:rFonts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单用途商业预付卡规模发卡企业备案</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2.审查阶段责任：对初审材料进行审核，提出初审意见。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3.备案阶段责任：企业提交的备案材料齐全，准予备案；不符合的，不予备案并书面告知企业。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4.信息公开责任：定期公告已备案企业名录。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3.【部门规章】《单用途商业预付卡管理办法（试行）》（2012年商务部令第9号公布，2016年商务部令第2号修正）第八条：发卡企业应向备案机关提交下列材料：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（一）《单用途卡发卡企业备案表》；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（二）《企业法人营业执照》（副本）复印件；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发卡企业为外商投资企业的，还应提交外商投资企业批准证书复印件。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部门规章】《单用途商业预付卡管理办法（试行）》（2012年商务部令第9号公布，2016年商务部令第2号修正）第十一条：备案机关对已备案的发卡企业予以编号，并在商务部和备案机关指定的媒体上公告，提供公众查询服务。</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237"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50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对外贸易经营者备案登记</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1.【法律】《中华人民共和国对外贸易法》第九条：从事货物进出口或者技术进出口的对外贸易经营者，应当向国务院对外贸易主管部门或者其委托的机构办理备案登记。</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2.【规范性文件】《广西壮族自治区人民政府关于取消和下放一批行政审批项目的决定》（桂政发</w:t>
            </w:r>
            <w:r>
              <w:rPr>
                <w:rFonts w:hint="eastAsia" w:ascii="宋体" w:hAnsi="宋体" w:cs="宋体"/>
                <w:color w:val="000000" w:themeColor="text1"/>
                <w:kern w:val="0"/>
                <w:sz w:val="20"/>
                <w:szCs w:val="20"/>
              </w:rPr>
              <w:t>﹝</w:t>
            </w:r>
            <w:r>
              <w:rPr>
                <w:rFonts w:hint="eastAsia" w:eastAsia="仿宋_GB2312"/>
                <w:color w:val="000000" w:themeColor="text1"/>
                <w:kern w:val="0"/>
                <w:sz w:val="20"/>
                <w:szCs w:val="20"/>
              </w:rPr>
              <w:t>2013</w:t>
            </w:r>
            <w:r>
              <w:rPr>
                <w:rFonts w:hint="eastAsia" w:ascii="宋体" w:hAnsi="宋体" w:cs="宋体"/>
                <w:color w:val="000000" w:themeColor="text1"/>
                <w:kern w:val="0"/>
                <w:sz w:val="20"/>
                <w:szCs w:val="20"/>
              </w:rPr>
              <w:t>﹞</w:t>
            </w:r>
            <w:r>
              <w:rPr>
                <w:rFonts w:hint="eastAsia" w:eastAsia="仿宋_GB2312"/>
                <w:color w:val="000000" w:themeColor="text1"/>
                <w:kern w:val="0"/>
                <w:sz w:val="20"/>
                <w:szCs w:val="20"/>
              </w:rPr>
              <w:t>44号）附件2第93号条款：委托设区市商务行政主管部门、部分县（市、区）商务行政主管部门实施。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3.【规范性文件】《自治区商务厅关于进一步明确对外贸易经营者备案登记下放范围的通知》（桂商审发〔2015〕2号）</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2.审查阶段责任：对材料进行审核，提出意见。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3.决定阶段责任：作出准予备案或不予备案的决定。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4.送达阶段责任：制发、送达《对外贸易经营者备案登记证明》，公开信息。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2</w:t>
            </w:r>
            <w:r>
              <w:rPr>
                <w:rFonts w:hint="eastAsia" w:eastAsia="仿宋_GB2312"/>
                <w:color w:val="000000" w:themeColor="text1"/>
                <w:kern w:val="0"/>
                <w:sz w:val="20"/>
                <w:szCs w:val="20"/>
              </w:rPr>
              <w:t>.【部门规章】《对外贸易经营者备案登记办法》（2004年商务部令第14号发布，2019年商务部令第1号修正）第五条：对外贸易经营者备案登记的程序……</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部门规章】《对外贸易经营者备案登记办法》（2004年商务部令第14号发布，2019年商务部令第1号修正）第六条：备案登记机关应自收到对外贸易经营者提交的上述材料之日起5日内办理备案登记手续，在《登记表》上加盖备案登记印章。</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部门规章】《对外贸易经营者备案登记办法》（2004年商务部令第14号发布，2019年商务部令第1号修正）第七条：备案登记机关在完成备案登记手续的同时，应当完整准确地记录和保存对外贸易经营者的备案登记信息和登记材料，依法建立备案登记档案。</w:t>
            </w:r>
          </w:p>
          <w:p>
            <w:pPr>
              <w:adjustRightInd w:val="0"/>
              <w:snapToGrid w:val="0"/>
              <w:spacing w:line="300" w:lineRule="exact"/>
              <w:ind w:firstLine="400" w:firstLineChars="200"/>
              <w:rPr>
                <w:rFonts w:eastAsia="仿宋_GB2312"/>
                <w:color w:val="000000" w:themeColor="text1"/>
                <w:kern w:val="0"/>
                <w:sz w:val="20"/>
                <w:szCs w:val="20"/>
              </w:rPr>
            </w:pP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bl>
    <w:p>
      <w:pPr>
        <w:rPr>
          <w:color w:val="000000" w:themeColor="text1"/>
        </w:rPr>
      </w:pPr>
    </w:p>
    <w:sectPr>
      <w:footerReference r:id="rId3" w:type="default"/>
      <w:pgSz w:w="23814" w:h="16839" w:orient="landscape"/>
      <w:pgMar w:top="1418" w:right="1361" w:bottom="1418" w:left="1361" w:header="851"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2"/>
        <w:szCs w:val="32"/>
      </w:rPr>
    </w:pPr>
    <w:r>
      <w:rPr>
        <w:sz w:val="32"/>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798319"/>
                  <w:docPartObj>
                    <w:docPartGallery w:val="autotext"/>
                  </w:docPartObj>
                </w:sdtPr>
                <w:sdtEndPr>
                  <w:rPr>
                    <w:sz w:val="32"/>
                    <w:szCs w:val="32"/>
                  </w:rPr>
                </w:sdtEndPr>
                <w:sdtContent>
                  <w:p>
                    <w:pPr>
                      <w:pStyle w:val="2"/>
                      <w:jc w:val="center"/>
                      <w:rPr>
                        <w:sz w:val="32"/>
                        <w:szCs w:val="32"/>
                      </w:rPr>
                    </w:pPr>
                    <w:r>
                      <w:rPr>
                        <w:rStyle w:val="6"/>
                        <w:rFonts w:ascii="宋体" w:hAnsi="宋体"/>
                        <w:sz w:val="32"/>
                        <w:szCs w:val="32"/>
                      </w:rPr>
                      <w:t>—</w:t>
                    </w:r>
                    <w:r>
                      <w:rPr>
                        <w:rStyle w:val="6"/>
                        <w:rFonts w:hint="eastAsia" w:ascii="宋体" w:hAnsi="宋体"/>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3062</w:t>
                    </w:r>
                    <w:r>
                      <w:rPr>
                        <w:sz w:val="32"/>
                        <w:szCs w:val="32"/>
                      </w:rPr>
                      <w:fldChar w:fldCharType="end"/>
                    </w:r>
                    <w:r>
                      <w:rPr>
                        <w:rFonts w:hint="eastAsia"/>
                        <w:sz w:val="32"/>
                        <w:szCs w:val="32"/>
                      </w:rPr>
                      <w:t xml:space="preserve"> </w:t>
                    </w:r>
                    <w:r>
                      <w:rPr>
                        <w:rStyle w:val="6"/>
                        <w:rFonts w:ascii="宋体" w:hAnsi="宋体"/>
                        <w:sz w:val="32"/>
                        <w:szCs w:val="32"/>
                      </w:rPr>
                      <w:t>—</w:t>
                    </w:r>
                  </w:p>
                </w:sdtContent>
              </w:sdt>
              <w:p>
                <w:pPr>
                  <w:rPr>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482F"/>
    <w:rsid w:val="00006B8B"/>
    <w:rsid w:val="000144CD"/>
    <w:rsid w:val="0002452B"/>
    <w:rsid w:val="00066BD6"/>
    <w:rsid w:val="00122B03"/>
    <w:rsid w:val="00143D52"/>
    <w:rsid w:val="00206903"/>
    <w:rsid w:val="002E48D6"/>
    <w:rsid w:val="00314DF8"/>
    <w:rsid w:val="003233E4"/>
    <w:rsid w:val="003426DD"/>
    <w:rsid w:val="004F1A10"/>
    <w:rsid w:val="005541A0"/>
    <w:rsid w:val="005A5C2C"/>
    <w:rsid w:val="006D57D8"/>
    <w:rsid w:val="007C7F4B"/>
    <w:rsid w:val="007F0413"/>
    <w:rsid w:val="009136EC"/>
    <w:rsid w:val="0099653C"/>
    <w:rsid w:val="009D051C"/>
    <w:rsid w:val="00A7482F"/>
    <w:rsid w:val="00AB78D2"/>
    <w:rsid w:val="00BE2057"/>
    <w:rsid w:val="00C5714D"/>
    <w:rsid w:val="00D75199"/>
    <w:rsid w:val="00DC5F8E"/>
    <w:rsid w:val="00E26D33"/>
    <w:rsid w:val="00E7250D"/>
    <w:rsid w:val="00EA0FFB"/>
    <w:rsid w:val="033FB38A"/>
    <w:rsid w:val="0A3B1E24"/>
    <w:rsid w:val="1BD74A6C"/>
    <w:rsid w:val="1D7FBD77"/>
    <w:rsid w:val="2BBFEC68"/>
    <w:rsid w:val="2CADCDAC"/>
    <w:rsid w:val="2CEFFD30"/>
    <w:rsid w:val="2D7BF51F"/>
    <w:rsid w:val="2DF7620D"/>
    <w:rsid w:val="2DFE1B1B"/>
    <w:rsid w:val="2DFF4537"/>
    <w:rsid w:val="2FD79C63"/>
    <w:rsid w:val="2FFFC11E"/>
    <w:rsid w:val="33F5EDA4"/>
    <w:rsid w:val="36EE43C7"/>
    <w:rsid w:val="37BBC561"/>
    <w:rsid w:val="39D78337"/>
    <w:rsid w:val="3BB5AEFF"/>
    <w:rsid w:val="3C3EC02C"/>
    <w:rsid w:val="3CE7AE20"/>
    <w:rsid w:val="3E5F328A"/>
    <w:rsid w:val="3EDA0F48"/>
    <w:rsid w:val="3EFE0062"/>
    <w:rsid w:val="3FFB2687"/>
    <w:rsid w:val="3FFF258E"/>
    <w:rsid w:val="45E989CF"/>
    <w:rsid w:val="4FCD7836"/>
    <w:rsid w:val="539DDFDE"/>
    <w:rsid w:val="5B97432E"/>
    <w:rsid w:val="5EBB0DEA"/>
    <w:rsid w:val="5F3F5AB2"/>
    <w:rsid w:val="5F77A1BA"/>
    <w:rsid w:val="5FBD228C"/>
    <w:rsid w:val="5FCF96F3"/>
    <w:rsid w:val="5FF1A438"/>
    <w:rsid w:val="63FBDC0C"/>
    <w:rsid w:val="67EB7765"/>
    <w:rsid w:val="67FB39C6"/>
    <w:rsid w:val="69C7E19C"/>
    <w:rsid w:val="6AEF3730"/>
    <w:rsid w:val="6BDF67BD"/>
    <w:rsid w:val="6DFD50B2"/>
    <w:rsid w:val="6DFFEA57"/>
    <w:rsid w:val="6EA7A921"/>
    <w:rsid w:val="6F6FCBAF"/>
    <w:rsid w:val="6F9D7A6D"/>
    <w:rsid w:val="6FF7B423"/>
    <w:rsid w:val="6FFF0A2B"/>
    <w:rsid w:val="6FFF3A21"/>
    <w:rsid w:val="71FE52F1"/>
    <w:rsid w:val="7267348B"/>
    <w:rsid w:val="755F2B3E"/>
    <w:rsid w:val="76EDDF61"/>
    <w:rsid w:val="76FDB482"/>
    <w:rsid w:val="79E627C8"/>
    <w:rsid w:val="79FC5627"/>
    <w:rsid w:val="7B3CAA0A"/>
    <w:rsid w:val="7BD60319"/>
    <w:rsid w:val="7BEED320"/>
    <w:rsid w:val="7BFC1797"/>
    <w:rsid w:val="7BFF93C2"/>
    <w:rsid w:val="7C7E3781"/>
    <w:rsid w:val="7DB9CA78"/>
    <w:rsid w:val="7DE1F59D"/>
    <w:rsid w:val="7DF67C93"/>
    <w:rsid w:val="7EBB13E5"/>
    <w:rsid w:val="7EBB7C48"/>
    <w:rsid w:val="7EDA46C4"/>
    <w:rsid w:val="7EFD7F7D"/>
    <w:rsid w:val="7F398001"/>
    <w:rsid w:val="7F6BF1F9"/>
    <w:rsid w:val="7F7D5C7F"/>
    <w:rsid w:val="7F8F04A9"/>
    <w:rsid w:val="7F93F2CD"/>
    <w:rsid w:val="7FAE5A9B"/>
    <w:rsid w:val="7FC450CB"/>
    <w:rsid w:val="7FE65410"/>
    <w:rsid w:val="7FEF660E"/>
    <w:rsid w:val="7FEF9A0B"/>
    <w:rsid w:val="7FFC9093"/>
    <w:rsid w:val="7FFCD2F5"/>
    <w:rsid w:val="7FFF4A6E"/>
    <w:rsid w:val="7FFFBB1E"/>
    <w:rsid w:val="7FFFC771"/>
    <w:rsid w:val="7FFFF78A"/>
    <w:rsid w:val="8BD72582"/>
    <w:rsid w:val="9D9B7895"/>
    <w:rsid w:val="9DED2EF0"/>
    <w:rsid w:val="AD7EB236"/>
    <w:rsid w:val="AEC5C3D6"/>
    <w:rsid w:val="BB77D2B5"/>
    <w:rsid w:val="BF6350C3"/>
    <w:rsid w:val="BFB7B8E7"/>
    <w:rsid w:val="BFBE108C"/>
    <w:rsid w:val="BFFBEE92"/>
    <w:rsid w:val="C1F78A93"/>
    <w:rsid w:val="C3FBA083"/>
    <w:rsid w:val="C67CF2E7"/>
    <w:rsid w:val="C9F9FE2D"/>
    <w:rsid w:val="D7D7A91B"/>
    <w:rsid w:val="DBEF8027"/>
    <w:rsid w:val="DBFB1B03"/>
    <w:rsid w:val="DDF8904D"/>
    <w:rsid w:val="DE6E4B18"/>
    <w:rsid w:val="DECE4DC4"/>
    <w:rsid w:val="DF37F7ED"/>
    <w:rsid w:val="DFFB3EE5"/>
    <w:rsid w:val="DFFB8CCF"/>
    <w:rsid w:val="DFFBC59C"/>
    <w:rsid w:val="DFFF068D"/>
    <w:rsid w:val="E4CE2666"/>
    <w:rsid w:val="E97316F6"/>
    <w:rsid w:val="ED39503F"/>
    <w:rsid w:val="EDB0ACD7"/>
    <w:rsid w:val="EE777450"/>
    <w:rsid w:val="EEFB7D4C"/>
    <w:rsid w:val="EEFFC511"/>
    <w:rsid w:val="EF7F0C7F"/>
    <w:rsid w:val="F5B783B9"/>
    <w:rsid w:val="F5BBD49B"/>
    <w:rsid w:val="F6E13760"/>
    <w:rsid w:val="F6FFFA75"/>
    <w:rsid w:val="F7CDAE11"/>
    <w:rsid w:val="F7F7D644"/>
    <w:rsid w:val="F7FD1690"/>
    <w:rsid w:val="F7FFF915"/>
    <w:rsid w:val="F9975FA2"/>
    <w:rsid w:val="F9D78A5B"/>
    <w:rsid w:val="FA7B22BD"/>
    <w:rsid w:val="FADA9738"/>
    <w:rsid w:val="FAFD2348"/>
    <w:rsid w:val="FB77FE48"/>
    <w:rsid w:val="FB8E66E3"/>
    <w:rsid w:val="FB9E79EA"/>
    <w:rsid w:val="FB9EC5A4"/>
    <w:rsid w:val="FD3DE1FA"/>
    <w:rsid w:val="FDFFA506"/>
    <w:rsid w:val="FEC7D06C"/>
    <w:rsid w:val="FF754827"/>
    <w:rsid w:val="FF96EB1C"/>
    <w:rsid w:val="FFBD8BD1"/>
    <w:rsid w:val="FFBFC74C"/>
    <w:rsid w:val="FFC56734"/>
    <w:rsid w:val="FFE74173"/>
    <w:rsid w:val="FFFB3850"/>
    <w:rsid w:val="FFFD49A9"/>
    <w:rsid w:val="FFFF7150"/>
    <w:rsid w:val="FFFFE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qFormat/>
    <w:uiPriority w:val="99"/>
    <w:pPr>
      <w:tabs>
        <w:tab w:val="center" w:pos="4153"/>
        <w:tab w:val="right" w:pos="8306"/>
      </w:tabs>
      <w:snapToGrid w:val="0"/>
      <w:jc w:val="left"/>
    </w:pPr>
    <w:rPr>
      <w:sz w:val="18"/>
      <w:szCs w:val="18"/>
    </w:rPr>
  </w:style>
  <w:style w:type="paragraph" w:styleId="3">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qFormat/>
    <w:uiPriority w:val="0"/>
    <w:rPr>
      <w:color w:val="0563C1"/>
      <w:u w:val="single"/>
    </w:rPr>
  </w:style>
  <w:style w:type="character" w:customStyle="1" w:styleId="8">
    <w:name w:val="font51"/>
    <w:qFormat/>
    <w:uiPriority w:val="0"/>
    <w:rPr>
      <w:rFonts w:hint="default" w:ascii="Times New Roman" w:hAnsi="Times New Roman" w:cs="Times New Roman"/>
      <w:color w:val="000000"/>
      <w:sz w:val="20"/>
      <w:szCs w:val="20"/>
      <w:u w:val="none"/>
    </w:rPr>
  </w:style>
  <w:style w:type="character" w:customStyle="1" w:styleId="9">
    <w:name w:val="font11"/>
    <w:qFormat/>
    <w:uiPriority w:val="0"/>
    <w:rPr>
      <w:rFonts w:hint="eastAsia" w:ascii="宋体" w:hAnsi="宋体" w:eastAsia="宋体" w:cs="宋体"/>
      <w:color w:val="000000"/>
      <w:sz w:val="20"/>
      <w:szCs w:val="20"/>
      <w:u w:val="none"/>
    </w:rPr>
  </w:style>
  <w:style w:type="character" w:customStyle="1" w:styleId="10">
    <w:name w:val="font81"/>
    <w:qFormat/>
    <w:uiPriority w:val="0"/>
    <w:rPr>
      <w:rFonts w:hint="default" w:ascii="Times New Roman" w:hAnsi="Times New Roman" w:cs="Times New Roman"/>
      <w:b/>
      <w:color w:val="000000"/>
      <w:sz w:val="20"/>
      <w:szCs w:val="20"/>
      <w:u w:val="none"/>
    </w:rPr>
  </w:style>
  <w:style w:type="character" w:customStyle="1" w:styleId="11">
    <w:name w:val="font91"/>
    <w:qFormat/>
    <w:uiPriority w:val="0"/>
    <w:rPr>
      <w:rFonts w:hint="eastAsia" w:ascii="宋体" w:hAnsi="宋体" w:eastAsia="宋体" w:cs="宋体"/>
      <w:color w:val="000000"/>
      <w:sz w:val="20"/>
      <w:szCs w:val="20"/>
      <w:u w:val="none"/>
    </w:rPr>
  </w:style>
  <w:style w:type="character" w:customStyle="1" w:styleId="12">
    <w:name w:val="font71"/>
    <w:qFormat/>
    <w:uiPriority w:val="0"/>
    <w:rPr>
      <w:rFonts w:hint="eastAsia" w:ascii="宋体" w:hAnsi="宋体" w:eastAsia="宋体" w:cs="宋体"/>
      <w:strike/>
      <w:color w:val="000000"/>
      <w:sz w:val="20"/>
      <w:szCs w:val="20"/>
    </w:rPr>
  </w:style>
  <w:style w:type="character" w:customStyle="1" w:styleId="13">
    <w:name w:val="font31"/>
    <w:qFormat/>
    <w:uiPriority w:val="0"/>
    <w:rPr>
      <w:rFonts w:hint="eastAsia" w:ascii="宋体" w:hAnsi="宋体" w:eastAsia="宋体" w:cs="宋体"/>
      <w:i/>
      <w:color w:val="000000"/>
      <w:sz w:val="20"/>
      <w:szCs w:val="20"/>
      <w:u w:val="none"/>
    </w:rPr>
  </w:style>
  <w:style w:type="character" w:customStyle="1" w:styleId="14">
    <w:name w:val="font41"/>
    <w:qFormat/>
    <w:uiPriority w:val="0"/>
    <w:rPr>
      <w:rFonts w:hint="eastAsia" w:ascii="宋体" w:hAnsi="宋体" w:eastAsia="宋体" w:cs="宋体"/>
      <w:b/>
      <w:color w:val="000000"/>
      <w:sz w:val="20"/>
      <w:szCs w:val="20"/>
      <w:u w:val="none"/>
    </w:rPr>
  </w:style>
  <w:style w:type="character" w:customStyle="1" w:styleId="15">
    <w:name w:val="未处理的提及"/>
    <w:unhideWhenUsed/>
    <w:qFormat/>
    <w:uiPriority w:val="99"/>
    <w:rPr>
      <w:color w:val="605E5C"/>
      <w:shd w:val="clear" w:color="auto" w:fill="E1DFDD"/>
    </w:rPr>
  </w:style>
  <w:style w:type="character" w:customStyle="1" w:styleId="16">
    <w:name w:val="页眉 Char"/>
    <w:basedOn w:val="5"/>
    <w:link w:val="3"/>
    <w:qFormat/>
    <w:uiPriority w:val="0"/>
    <w:rPr>
      <w:rFonts w:ascii="Times New Roman" w:hAnsi="Times New Roman" w:eastAsia="宋体" w:cs="Times New Roman"/>
      <w:sz w:val="18"/>
      <w:szCs w:val="18"/>
    </w:rPr>
  </w:style>
  <w:style w:type="character" w:customStyle="1" w:styleId="1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15675</Words>
  <Characters>89348</Characters>
  <Lines>744</Lines>
  <Paragraphs>209</Paragraphs>
  <TotalTime>0</TotalTime>
  <ScaleCrop>false</ScaleCrop>
  <LinksUpToDate>false</LinksUpToDate>
  <CharactersWithSpaces>104814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2022-02-18T03:36:00Z</dcterms:created>
  <dc:creator>Lenovo9</dc:creator>
  <cp:lastModifiedBy>gxxc</cp:lastModifiedBy>
  <cp:lastPrinted>2023-01-16T11:08:00Z</cp:lastPrinted>
  <dcterms:modified xsi:type="dcterms:W3CDTF">2025-01-15T16:16:40Z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