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ascii="方正小标宋简体" w:hAnsi="方正小标宋简体" w:eastAsia="方正小标宋简体" w:cs="方正小标宋简体"/>
          <w:snapToGrid w:val="0"/>
          <w:color w:val="000000" w:themeColor="text1"/>
          <w:sz w:val="44"/>
          <w:szCs w:val="44"/>
        </w:rPr>
      </w:pPr>
      <w:r>
        <w:rPr>
          <w:rFonts w:hint="eastAsia" w:eastAsia="方正小标宋简体" w:cs="方正小标宋简体"/>
          <w:snapToGrid w:val="0"/>
          <w:color w:val="000000" w:themeColor="text1"/>
          <w:sz w:val="44"/>
          <w:szCs w:val="44"/>
        </w:rPr>
        <w:t>柳州商务工作市、县两级权责清单规范化通用目录</w:t>
      </w:r>
    </w:p>
    <w:p>
      <w:pPr>
        <w:adjustRightInd w:val="0"/>
        <w:snapToGrid w:val="0"/>
        <w:spacing w:line="570" w:lineRule="exact"/>
        <w:jc w:val="center"/>
        <w:rPr>
          <w:rFonts w:eastAsia="仿宋_GB2312"/>
          <w:snapToGrid w:val="0"/>
          <w:color w:val="000000" w:themeColor="text1"/>
          <w:sz w:val="32"/>
          <w:szCs w:val="32"/>
        </w:rPr>
      </w:pPr>
    </w:p>
    <w:tbl>
      <w:tblPr>
        <w:tblStyle w:val="4"/>
        <w:tblW w:w="21087" w:type="dxa"/>
        <w:jc w:val="center"/>
        <w:tblLayout w:type="fixed"/>
        <w:tblCellMar>
          <w:top w:w="0" w:type="dxa"/>
          <w:left w:w="28" w:type="dxa"/>
          <w:bottom w:w="0" w:type="dxa"/>
          <w:right w:w="28" w:type="dxa"/>
        </w:tblCellMar>
      </w:tblPr>
      <w:tblGrid>
        <w:gridCol w:w="334"/>
        <w:gridCol w:w="528"/>
        <w:gridCol w:w="928"/>
        <w:gridCol w:w="927"/>
        <w:gridCol w:w="927"/>
        <w:gridCol w:w="5469"/>
        <w:gridCol w:w="3675"/>
        <w:gridCol w:w="7734"/>
        <w:gridCol w:w="565"/>
      </w:tblGrid>
      <w:tr>
        <w:tblPrEx>
          <w:tblCellMar>
            <w:top w:w="0" w:type="dxa"/>
            <w:left w:w="28" w:type="dxa"/>
            <w:bottom w:w="0" w:type="dxa"/>
            <w:right w:w="28" w:type="dxa"/>
          </w:tblCellMar>
        </w:tblPrEx>
        <w:trPr>
          <w:trHeight w:val="284" w:hRule="atLeast"/>
          <w:tblHeader/>
          <w:jc w:val="center"/>
        </w:trPr>
        <w:tc>
          <w:tcPr>
            <w:tcW w:w="33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序号</w:t>
            </w:r>
          </w:p>
        </w:tc>
        <w:tc>
          <w:tcPr>
            <w:tcW w:w="52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权力</w:t>
            </w:r>
          </w:p>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分类</w:t>
            </w:r>
          </w:p>
        </w:tc>
        <w:tc>
          <w:tcPr>
            <w:tcW w:w="8286" w:type="dxa"/>
            <w:gridSpan w:val="4"/>
            <w:tcBorders>
              <w:top w:val="single" w:color="auto" w:sz="4" w:space="0"/>
              <w:left w:val="nil"/>
              <w:bottom w:val="single" w:color="auto" w:sz="4" w:space="0"/>
              <w:right w:val="single" w:color="auto" w:sz="4" w:space="0"/>
            </w:tcBorders>
            <w:noWrap/>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权力清单</w:t>
            </w:r>
          </w:p>
        </w:tc>
        <w:tc>
          <w:tcPr>
            <w:tcW w:w="11459" w:type="dxa"/>
            <w:gridSpan w:val="2"/>
            <w:tcBorders>
              <w:top w:val="single" w:color="auto" w:sz="4" w:space="0"/>
              <w:left w:val="nil"/>
              <w:bottom w:val="single" w:color="auto" w:sz="4" w:space="0"/>
              <w:right w:val="single" w:color="auto" w:sz="4" w:space="0"/>
            </w:tcBorders>
            <w:noWrap/>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责任清单</w:t>
            </w:r>
          </w:p>
        </w:tc>
        <w:tc>
          <w:tcPr>
            <w:tcW w:w="47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备注</w:t>
            </w:r>
          </w:p>
        </w:tc>
      </w:tr>
      <w:tr>
        <w:tblPrEx>
          <w:tblCellMar>
            <w:top w:w="0" w:type="dxa"/>
            <w:left w:w="28" w:type="dxa"/>
            <w:bottom w:w="0" w:type="dxa"/>
            <w:right w:w="28" w:type="dxa"/>
          </w:tblCellMar>
        </w:tblPrEx>
        <w:trPr>
          <w:trHeight w:val="284" w:hRule="atLeast"/>
          <w:tblHeader/>
          <w:jc w:val="center"/>
        </w:trPr>
        <w:tc>
          <w:tcPr>
            <w:tcW w:w="33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p>
        </w:tc>
        <w:tc>
          <w:tcPr>
            <w:tcW w:w="52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项目名称</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子项名称</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实施层级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设定依据</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责任事项</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责任事项依据</w:t>
            </w:r>
          </w:p>
        </w:tc>
        <w:tc>
          <w:tcPr>
            <w:tcW w:w="47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p>
        </w:tc>
      </w:tr>
      <w:tr>
        <w:tblPrEx>
          <w:tblCellMar>
            <w:top w:w="0" w:type="dxa"/>
            <w:left w:w="28" w:type="dxa"/>
            <w:bottom w:w="0" w:type="dxa"/>
            <w:right w:w="28" w:type="dxa"/>
          </w:tblCellMar>
        </w:tblPrEx>
        <w:trPr>
          <w:trHeight w:val="11340"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1</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行政许可</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成品油零售经营资格审批</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国务院对确需保留的行政审批项目设定行政许可的决定》（2004年国务院令第412号公布，2009年修改）第183条：石油成品油批发、仓储、零售经营资格审批由商务部、省级人民政府商务行政主管部门实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规范性文件】《广西壮族自治区人民政府关于下放成品油零售经营资格审批权限的通知》（桂政电〔2020〕27号）“一、下放成品油零售经营资格审批至市人民政府：成品油零售经营资格审批下放后，各市人民政府负责编制本辖区成品油零售体系发展规划，组织实施加油站规划确认、成品油零售经营资格许可、成品油零售经营批准证书变更及注（撤）销事项的审批；确定市、县两级具体执行部门负责审批及行业管理。”</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1.受理阶段责任：公示应当提交的材料；在规定时间出具一次性告知补正材料；依法受理或不予受理（不予受理的告知理由）。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2.审查阶段责任：在20个工作日内审查申请成品油零售经营资格许可材料。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3.决定阶段责任：作出行政许可或者不予行政许可的决定（不予许可的告知理由）；按时办结；法定告知。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4.送达阶段责任：准予许可的，制作决定文件，送达并在网站信息公开。</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5.监管责任：对本辖区成品油经营市场的监督检查，及时对成品油经营企业的违法违规行为进行查处。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1.【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2.【法律】《中华人民共和国行政许可法》第四十六条：法律、法规、规章规定实施行政许可应当听证的事项，或者行政机关认为需要听证的其他涉及公共利益的重大行政许可事项，行政机关应当向社会公告，并举行听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4.【法律】《中华人民共和国行政许可法》第四十四条：行政机关作出准予行政许可的决定，应当自作出决定之日起十日内向申请人颁发、送达行政许可证件，或者加贴标签、加盖检验、检测、检疫印章。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5.【法律】《中华人民共和国行政许可法》第六十一条：行政机关应当建立健全监督制度，通过核查反映被许可人从事行政许可事项活动情况的有关材料，履行监督责任。</w:t>
            </w:r>
          </w:p>
        </w:tc>
        <w:tc>
          <w:tcPr>
            <w:tcW w:w="47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2</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行政许可</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对外劳务合作经营资格核准</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对外劳务合作管理条例》（2012年国务院令第620号）第五条：从事对外劳务合作，应当按照省、自治区、直辖市人民政府的规定，经省级或者设区的市级人民政府商务主管部门批准，取得对外劳务合作经营资格。</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七条:申请对外劳务合作经营资格的企业，应当向所在地省级或者设区的市级人民政府商务主管部门（以下称负责审批的商务主管部门）提交其符合本条例第六条规定条件的证明材料。负责审批的商务主管部门应当自收到证明材料之日起20个工作日内进行审查，作出批准或者不予批准的决定。予以批准的，颁发对外劳务合作经营资格证书；不予批准的，书面通知申请人并说明理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规范性文件】《广西壮族自治区人民政府关于取消和下放一批行政审批项目的决定》（桂政发﹝2013﹞44号）的附件2：《广西壮族自治区人民政府决定下放管理权（含部分权限）的行政审批项目目录》第92项“委托设区市商务行政部门实施对外劳务合作经营资格证书核发”要求，2015年1月起下放至设区市商务行政部门实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3.【规范性文件】《广西壮族自治区人民政府关于取消下放调整一批行政审批项目的决定》（桂政发﹝2014﹞69号）附件2第48条款：将自治区管理权限委托下放设区市商务行政主管部门实施；</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1.受理阶段责任：公示依法应当提交的材料；一次性告知补正材料；依法受理或不予受理（不予受理应当告知理由）。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2.审查阶段责任：对申请的材料进行审核，提出意见。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3.决定阶段责任：作出行政许可或者不予行政许可决定，法定告知（不予许可的应当书面告知理由）。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4.送达阶段责任：制发、送达《对外劳务合作经营资格证书》，公开信息。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5.事后监管阶段责任：监督对外劳务合作，受理投诉。</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许可法》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4—1.【法律】《中华人民共和国行政许可法》第四十条：行政机关作出的准予行政许可决定，应当予以公开，公众有权查阅。</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4—2.【法律】《中华人民共和国行政许可法》第四十四条：行政机关作出准予行政许可的决定，应当自作出决定之日起十日内向申请人颁发、送达行政许可证件</w:t>
            </w:r>
            <w:r>
              <w:rPr>
                <w:rFonts w:hint="eastAsia" w:eastAsia="仿宋_GB2312"/>
                <w:color w:val="000000" w:themeColor="text1"/>
                <w:kern w:val="0"/>
                <w:sz w:val="20"/>
                <w:szCs w:val="20"/>
                <w:lang w:eastAsia="zh-CN"/>
              </w:rPr>
              <w:t>，</w:t>
            </w:r>
            <w:bookmarkStart w:id="0" w:name="_GoBack"/>
            <w:bookmarkEnd w:id="0"/>
            <w:r>
              <w:rPr>
                <w:rFonts w:hint="eastAsia" w:eastAsia="仿宋_GB2312"/>
                <w:color w:val="000000" w:themeColor="text1"/>
                <w:kern w:val="0"/>
                <w:sz w:val="20"/>
                <w:szCs w:val="20"/>
              </w:rPr>
              <w:t>或者加贴标签、加盖检验、检测、检疫印章。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5.【法律】《中华人民共和国行政许可法》第六十一条:行政机关应当建立健全监督制度，通过核查反映被许可人从事行政许可事项活动情况的有关材料，履行监督责任。</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1.【行政法规】《对外劳务合作管理条例》第十九条：对外劳务合作企业停止开展对外劳务合作的，应当对其派出的尚在国外工作的劳务人员作出妥善安排，并将安排方案报负责审批的商务主管部门备案。负责审批的商务主管部门应当将安排方案报至国务院商务主管部门，国务院商务主管部门应当及时通报中国驻用工项目所在国使馆、领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2.【行政法规】《对外劳务合作管理条例》第二十条：劳务人员有权向商务主管部门和其他有关部门投诉对外劳务合作企业违反合同约定或者其他侵害劳务人员合法权益的行为。接受投诉的部门应当按照职责依法及时处理，并将处理情况向投诉人反馈。</w:t>
            </w:r>
          </w:p>
        </w:tc>
        <w:tc>
          <w:tcPr>
            <w:tcW w:w="47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r>
              <w:rPr>
                <w:rFonts w:hint="eastAsia" w:eastAsia="仿宋_GB2312"/>
                <w:color w:val="000000" w:themeColor="text1"/>
                <w:kern w:val="0"/>
                <w:sz w:val="20"/>
                <w:szCs w:val="20"/>
              </w:rPr>
              <w:t>该行政许可由柳州市行政</w:t>
            </w:r>
            <w:r>
              <w:rPr>
                <w:rFonts w:hint="eastAsia" w:eastAsia="仿宋_GB2312"/>
                <w:color w:val="000000" w:themeColor="text1"/>
                <w:kern w:val="0"/>
                <w:sz w:val="20"/>
                <w:szCs w:val="20"/>
                <w:lang w:eastAsia="zh-CN"/>
              </w:rPr>
              <w:t>审批</w:t>
            </w:r>
            <w:r>
              <w:rPr>
                <w:rFonts w:hint="eastAsia" w:eastAsia="仿宋_GB2312"/>
                <w:color w:val="000000" w:themeColor="text1"/>
                <w:kern w:val="0"/>
                <w:sz w:val="20"/>
                <w:szCs w:val="20"/>
              </w:rPr>
              <w:t>局实施。</w:t>
            </w:r>
          </w:p>
        </w:tc>
      </w:tr>
      <w:tr>
        <w:tblPrEx>
          <w:tblCellMar>
            <w:top w:w="0" w:type="dxa"/>
            <w:left w:w="28" w:type="dxa"/>
            <w:bottom w:w="0" w:type="dxa"/>
            <w:right w:w="28" w:type="dxa"/>
          </w:tblCellMar>
        </w:tblPrEx>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行政许可</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从事拍卖业务许可</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市级（受理）</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w:t>
            </w:r>
            <w:r>
              <w:rPr>
                <w:rFonts w:eastAsia="仿宋_GB2312"/>
                <w:color w:val="000000" w:themeColor="text1"/>
                <w:kern w:val="0"/>
                <w:sz w:val="20"/>
                <w:szCs w:val="20"/>
              </w:rPr>
              <w:t>.</w:t>
            </w:r>
            <w:r>
              <w:rPr>
                <w:rFonts w:hint="eastAsia" w:eastAsia="仿宋_GB2312"/>
                <w:color w:val="000000" w:themeColor="text1"/>
                <w:kern w:val="0"/>
                <w:sz w:val="20"/>
                <w:szCs w:val="20"/>
              </w:rPr>
              <w:t>【法律】《中华人民共和国拍卖法》第十一条：企业取得从事拍卖业务的许可必须经所在地的省、自治区、直辖市人民政府负责管理拍卖业的部门审核批准。拍卖企业可以在设区的市设立。</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w:t>
            </w:r>
            <w:r>
              <w:rPr>
                <w:rFonts w:eastAsia="仿宋_GB2312"/>
                <w:color w:val="000000" w:themeColor="text1"/>
                <w:kern w:val="0"/>
                <w:sz w:val="20"/>
                <w:szCs w:val="20"/>
              </w:rPr>
              <w:t>.</w:t>
            </w:r>
            <w:r>
              <w:rPr>
                <w:rFonts w:hint="eastAsia" w:eastAsia="仿宋_GB2312"/>
                <w:color w:val="000000" w:themeColor="text1"/>
                <w:kern w:val="0"/>
                <w:sz w:val="20"/>
                <w:szCs w:val="20"/>
              </w:rPr>
              <w:t>【部门规章】《拍卖管理办法》（2004年商务部令第24号发布，2019年商务部令第1号修正）第十二条：企业及分公司申请取得从事拍卖业务的许可，按照下列程序办理：企业及分公司申请取得从事拍卖业务的许可，应当先经企业或分公司所在地市级商务主管部门审查后，报省级商务主管部门核准并颁发拍卖经营批准证书。</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第十三条：拍卖企业向工商行政管理机关申请变更注册登记项目后，应当报省级商务主管部门核准，并由其换发拍卖经营批准证书。</w:t>
            </w:r>
          </w:p>
          <w:p>
            <w:pPr>
              <w:adjustRightInd w:val="0"/>
              <w:snapToGrid w:val="0"/>
              <w:spacing w:line="300" w:lineRule="exact"/>
              <w:ind w:firstLine="400" w:firstLineChars="200"/>
              <w:rPr>
                <w:rFonts w:eastAsia="仿宋_GB2312"/>
                <w:color w:val="000000" w:themeColor="text1"/>
                <w:kern w:val="0"/>
                <w:sz w:val="20"/>
                <w:szCs w:val="20"/>
              </w:rPr>
            </w:pP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1.受理阶段责任：公示拍卖企业设立许可初审所需申请材料内容，并按申请人的要求进行相关解释说明。及时告知不予受理的决定及理由.一次性告知需要补正的申请材料全部内容。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2.审查阶段责任：在规定的时间内对申请材料进行预审、提出预审意见。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3.转报阶段责任：在规定时间内向自治区商务厅进行转报（不予转报的应当书面告知理由）。</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1.【部门规章】《拍卖管理办法》（2004年商务部令2004年第24号发布，2019年商务部令第1号修正）第七条：设立拍卖企业，应当具备下列条件：（一）有1百万元人民币以上的注册资本；（二）有自己的名称、组织机构和章程；（三）有固定的办公场所；（四）有3名以上取得拍卖业从业资格的人员，其中至少有1名是拍卖师；并有与主营业务密切联系的行业从业资格的专职或兼职人员；（五）有符合有关法律、行政法规及本办法规定的拍卖业务规则；（六）符合商务主管部门有关拍卖行业发展规划。</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2.【部门规章】《拍卖管理办法》（2004年商务部令2004年第24号发布，2019年商务部令第1号修正）第八条：申请设立拍卖企业，应当提交下列材料：（一）申请书；（二）公司章程、拍卖业务规则；（三）工商行政管理机关核发的《企业名称预先核准通知书》；（四）拟任法定代表人简历和有效身份证明；（五）拟聘任的拍卖师执业资格证书及从业人员的相关资质证明；（六）固定办公场所产权证明或租用合同。</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3.【部门规章】《拍卖管理办法》（2004年商务部令2004年第24号发布，2019年商务部令第1号修正）第十条：拍卖企业分公司申请取得从事拍卖业务的许可，应当符合下列条件：（一）符合拍卖业发展规划；（二）有固定的办公场所；（三）经营拍卖业务三年以上，最近两年连续盈利，其上年拍卖成交额超过五千万元人民币；或者上年拍卖成交额超过二亿元人民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4.【部门规章】《拍卖管理办法》（2004年商务部令第24号发布，2019年商务部令第1号修正）第十一条：拍卖企业分公司申请取得从事拍卖业务的许可，申请人需要提交下列材料:（一）申请报告；（二）企业法人营业执照副本（复印件）；（三）最近两年经会计师事务所审计的年度财务会计报表；（四）分公司负责人简历及有效身份证明；（五）拟聘任的拍卖师执业资格证书；（六）固定办公场所的产权证明或租用合同。</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部门规章】《拍卖管理办法》（2004年商务部令第24号发布，2019年商务部令第1号修正）第十二条：企业及分公司申请取得从事拍卖业务的许可，按照下列程序办理：企业及分公司申请取得从事拍卖业务的许可，应当先经企业或分公司所在地市级商务主管部门审查后，报省级商务主管部门核准并颁发拍卖经营批准证书。</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ascii="仿宋_GB2312" w:hAnsi="宋体" w:eastAsia="仿宋_GB2312" w:cs="宋体"/>
                <w:color w:val="000000" w:themeColor="text1"/>
                <w:kern w:val="0"/>
                <w:sz w:val="20"/>
                <w:szCs w:val="20"/>
              </w:rPr>
            </w:pPr>
            <w:r>
              <w:rPr>
                <w:rFonts w:hint="eastAsia" w:eastAsia="仿宋_GB2312"/>
                <w:color w:val="000000" w:themeColor="text1"/>
                <w:kern w:val="0"/>
                <w:sz w:val="20"/>
                <w:szCs w:val="20"/>
              </w:rPr>
              <w:t>从事拍卖业务许可的实施机关为自治区商务厅（由设区的市级商务部门受理）。</w:t>
            </w:r>
          </w:p>
          <w:p>
            <w:pPr>
              <w:adjustRightInd w:val="0"/>
              <w:snapToGrid w:val="0"/>
              <w:spacing w:line="300" w:lineRule="exact"/>
              <w:ind w:firstLine="400" w:firstLineChars="200"/>
              <w:rPr>
                <w:rFonts w:eastAsia="仿宋_GB2312"/>
                <w:color w:val="000000" w:themeColor="text1"/>
                <w:kern w:val="0"/>
                <w:sz w:val="20"/>
                <w:szCs w:val="20"/>
              </w:rPr>
            </w:pPr>
          </w:p>
        </w:tc>
      </w:tr>
      <w:tr>
        <w:tblPrEx>
          <w:tblCellMar>
            <w:top w:w="0" w:type="dxa"/>
            <w:left w:w="28" w:type="dxa"/>
            <w:bottom w:w="0" w:type="dxa"/>
            <w:right w:w="28" w:type="dxa"/>
          </w:tblCellMar>
        </w:tblPrEx>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对规模发卡企业违反单用途商业预付卡资金管理和信息报送相关规定行为的处罚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第二十四条：发卡企业应对预收资金进行严格管理。预收资金只能用于发卡企业主营业务，不得用于不动产、股权、证券等投资及借贷。</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五条：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倍。集团发卡企业预收资金余额不得超过其上一会计年度本集团营业收入的30%。本办法所称预收资金是指发卡企业通过发行单用途卡所预收的资金总额，预收资金余额是指预收资金扣减已兑付商品或服务价款后的余额。</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第二十七条：规模发卡企业、集团发卡企业和品牌发卡企业应确定一个商业银行账户作为资金存管账户，并与存管银行签订资金存管协议。</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一条：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格式见附件3）。发卡企业填报的信息应当准确、真实、完整，不得故意隐瞒或虚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第三十七条第二款：发卡企业违反本办法第二十四条至第二十七条、第三十一条规定的，由备案机关责令限期改正；逾期仍不改正的，处以1万元以上3万元以下罚款。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1.立案阶段责任：设区的市级商务主管部门在发现或者接到举报有相关违法行为时，及时审查，决定是否立案；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2.调查阶段责任：全面、客观、公正地进行调查，收集、调取证据，商务执法人员不得少于两人，调查时出示执法证件，允许当事人辩解陈述并保守有关秘密，由当事人签署意见，签名或者盖章；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3.审查阶段责任：对违法事实、证据、调查取证程序、法律适用、处罚种类和幅度、当事人陈述和申辩理由等方面进行全面审查，提出处理意见。此阶段若证据不足时，应将案件退回承办机构补充调查；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4.告知阶段责任：作出处理决定前，书面告知当事人违法实施及其享有的陈述申辩和要求举行听证等相关权力；</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根据案件审理情况和告知当事人后的陈述申辩理由决定是否予以行政处罚，确有应受行政处罚的违法行为的，根据情节轻重及具体情况，依法作出行政处罚决定。应当自立案之日起90内作出处理决定，并及时告知当事人处理结果及法律依据，案情复杂，不能限期结束的，经商务主管部门负责人批准后，可以适当延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6.送达阶段责任：行政处罚决定书应在7日内送达当事人；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监督当事人在决定的期限内，履行生效的行政处罚决定。当事人逾期不履行依法给予并已经生效的行政处罚时，根据案件具体情况，每日按罚款数额的百分之三加处罚款、根据法律规定，将查封、扣押的财物拍卖或者将冻结的存款划拨抵缴罚款、申请人民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8.其他法律法规政策规定应履行的责任。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5</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对规模发卡企业未按规定建立业务处理系统并保障其运行质量相关行为的处罚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九条：规模发卡企业、集团发卡企业和品牌发卡企业应在境内建立与发行单用途卡规模相适应的业务处理系统，并保障业务处理系统信息安全和运行质量。发生重大或不可恢复的技术故障时，规模发卡企业、集团发卡企业、品牌发卡企业应立即向备案机关报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第三十八条：发卡企业违反本办法第二十九条（业务处理系统）规定，造成重大损失的，由备案机关处以1万元以上3万元以下罚款。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1.立案阶段责任：设区的市级商务主管部门在发现或者接到举报有相关违法行为时，及时审查，决定是否立案；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2.调查阶段责任：全面、客观、公正地进行调查，收集、调取证据，商务执法人员不得少于两人，调查时出示执法证件，允许当事人辩解陈述并保守有关秘密，由当事人签署意见，签名或者盖章；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3.审查阶段责任：对违法事实、证据、调查取证程序、法律适用、处罚种类和幅度、当事人陈述和申辩理由等方面进行全面审查，提出处理意见。此阶段若证据不足时，应将案件退回承办机构补充调查；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4.告知阶段责任：作出处理决定前，书面告知当事人违法实施及其享有的陈述申辩和要求举行听证等相关权力；</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根据案件审理情况和告知当事人后的陈述申辩理由决定是否予以行政处罚，确有应受行政处罚的违法行为的，根据情节轻重及具体情况，依法作出行政处罚决定。应当自立案之日起90内作出处理决定，并及时告知当事人处理结果及法律依据，案情复杂，不能限期结束的，经商务主管部门负责人批准后，可以适当延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6.送达阶段责任：行政处罚决定书应在7日内送达当事人；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监督当事人在决定的期限内，履行生效的行政处罚决定。当事人逾期不履行依法给予并已经生效的行政处罚时，根据案件具体情况，每日按罚款数额的百分之三加处罚款、根据法律规定，将查封、扣押的财物拍卖或者将冻结的存款划拨抵缴罚款、申请人民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8.其他法律法规政策规定应履行的责任。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6</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对特许人未按规定办理特许经营备案的处罚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八条：特许人应当自首次订立特许经营合同之日起15日内，依照本条例的规定向商务主管部门备案。在省、自治区、直辖市范围内从事特许经营活动的，应当向所在地省、自治区、直辖市人民政府商务主管部门备案；跨省、自治区、直辖市范围从事特许经营活动的，应当向国务院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第二十五条：特许人未依照本条例第八条的规定向商务主管部门备案的，由商务主管部门责令限期备案，处1万元以上5万元以下的罚款；逾期仍不备案的，处5万元以上10万元以下的罚款，并予以公告。</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4536" w:hRule="atLeast"/>
          <w:jc w:val="center"/>
        </w:trPr>
        <w:tc>
          <w:tcPr>
            <w:tcW w:w="334"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7</w:t>
            </w:r>
          </w:p>
        </w:tc>
        <w:tc>
          <w:tcPr>
            <w:tcW w:w="529"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对不具备规定条件从事特许经营活动的处罚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r>
              <w:rPr>
                <w:rFonts w:hint="eastAsia" w:eastAsia="仿宋_GB2312"/>
                <w:color w:val="000000" w:themeColor="text1"/>
                <w:kern w:val="0"/>
                <w:sz w:val="20"/>
                <w:szCs w:val="20"/>
              </w:rPr>
              <w:t>1.对特许人不具备规定条件从事特许经营活动的处罚</w:t>
            </w:r>
          </w:p>
        </w:tc>
        <w:tc>
          <w:tcPr>
            <w:tcW w:w="931"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第七条：特许人从事特许经营活动应当拥有至少2个直营店，并且经营时间超过1年。</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第二十四条：特许人不具备本条例第七条第二款规定的条件，从事特许经营活动的，由商务主管部门责令改正，没收违法所得，处10万元以上50万元以下的罚款，并予以公告。</w:t>
            </w:r>
          </w:p>
        </w:tc>
        <w:tc>
          <w:tcPr>
            <w:tcW w:w="3691"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vMerge w:val="restar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4536" w:hRule="atLeast"/>
          <w:jc w:val="center"/>
        </w:trPr>
        <w:tc>
          <w:tcPr>
            <w:tcW w:w="334"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p>
        </w:tc>
        <w:tc>
          <w:tcPr>
            <w:tcW w:w="529"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p>
        </w:tc>
        <w:tc>
          <w:tcPr>
            <w:tcW w:w="93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r>
              <w:rPr>
                <w:rFonts w:hint="eastAsia" w:eastAsia="仿宋_GB2312"/>
                <w:color w:val="000000" w:themeColor="text1"/>
                <w:kern w:val="0"/>
                <w:sz w:val="20"/>
                <w:szCs w:val="20"/>
              </w:rPr>
              <w:t>2.对企业以外的其他单位和个人作为特许人从事特许经营活动的处罚</w:t>
            </w:r>
          </w:p>
        </w:tc>
        <w:tc>
          <w:tcPr>
            <w:tcW w:w="93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第二十四条：企业以外的其他单位和个人作为特许人从事特许经营活动的，由商务主管部门责令停止非法经营活动，没收违法所得，并处10万元以上50万元以下的罚款。</w:t>
            </w:r>
          </w:p>
        </w:tc>
        <w:tc>
          <w:tcPr>
            <w:tcW w:w="3691"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tc>
        <w:tc>
          <w:tcPr>
            <w:tcW w:w="7768" w:type="dxa"/>
            <w:vMerge w:val="continue"/>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8</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对未按规定告知被特许人支付费用以及未按规定向商务主管部门报告上一年度合同订立情况的处罚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第十六条：特许人要求被特许人在订立特许经营合同前支付费用的，应当以书面形式向被特许人说明该部分费用的用途以及退还的条件、方式。</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第十九条：特许人应当在每年第一季度将其上一年度订立特许经营合同的情况向商务主管部门报告。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第二十六条：特许人违反本条例第十六条、第十九条规定的，由商务主管部门责令改正，可以处1万元以下的罚款；情节严重的，处1万元以上5万元以下的罚款，并予以公告。</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1.立案阶段责任：设区的市级商务主管部门在发现或者接到举报有相关违法行为时，及时审查，决定是否立案；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2.调查阶段责任：全面、客观、公正地进行调查，收集、调取证据，商务执法人员不得少于两人，调查时出示执法证件，允许当事人辩解陈述并保守有关秘密，由当事人签署意见，签名或者盖章；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3.审查阶段责任：对违法事实、证据、调查取证程序、法律适用、处罚种类和幅度、当事人陈述和申辩理由等方面进行全面审查，提出处理意见。此阶段若证据不足时，应将案件退回承办机构补充调查；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4.告知阶段责任：作出处理决定前，书面告知当事人违法实施及其享有的陈述申辩和要求举行听证等相关权力；</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根据案件审理情况和告知当事人后的陈述申辩理由决定是否予以行政处罚，确有应受行政处罚的违法行为的，根据情节轻重及具体情况，依法作出行政处罚决定。应当自立案之日起90内作出处理决定，并及时告知当事人处理结果及法律依据，案情复杂，不能限期结束的，经商务主管部门负责人批准后，可以适当延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6.送达阶段责任：行政处罚决定书应在7日内送达当事人；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监督当事人在决定的期限内，履行生效的行政处罚决定。当事人逾期不履行依法给予并已经生效的行政处罚时，根据案件具体情况，每日按罚款数额的百分之三加处罚款、根据法律规定，将查封、扣押的财物拍卖或者将冻结的存款划拨抵缴罚款、申请人民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8.其他法律法规政策规定应履行的责任。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9</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对未按规定向被特许人提供合同等相关信息的处罚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第二十一条：特许人应当在订立特许经营合同之日前至少30日，以书面形式向被特许人提供本条例第二十二条规定的信息，并提供特许经营合同文本。</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三条：特许人向被特许人提供的信息应当真实、准确、完整，不得隐瞒有关信息，或者提供虚假信息。特许人向被特许人提供的信息发生重大变更的，应当及时通知被特许人。特许人隐瞒有关信息或者提供虚假信息的，被特许人可以解除特许经营合同。</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八条：特许人违反本条例第二十一条、第二十三条规定，被特许人向商务主管部门举报并经查实的，由商务主管部门责令改正，处1万元以上5万元以下的罚款；情节严重的，处5万元以上10万元以下的罚款，并予以公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【部门规章】《商业特许经营信息披露管理办法》(2012年商务部令2012年第2号)</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第十条特许人违反本办法有关规定的，被特许人有权向商务主管部门举报，经查实的，分别依据《条例》第二十六条、第二十七条、第二十八条予以处罚。</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10</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对对外劳务合作企业违法组织劳务人员赴国外工作的处罚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四十条：对外劳务合作企业有下列情形之一的，由商务主管部门吊销其对外劳务合作经营资格证书，有违法所得的予以没收：（一）以商务、旅游、留学等名义组织劳务人员赴国外工作；（二）允许其他单位或者个人以本企业的名义组织劳务人员赴国外工作；（三）组织劳务人员赴国外从事与赌博、色情活动相关的工作。</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1</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对对外劳务合作企业未按规定缴存或补足备用金相关行为的处罚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五条：从事对外劳务合作，应当按照省、自治区、直辖市人民政府的规定，经省级或者设区的市级人民政府商务主管部门批准，取得对外劳务合作经营资格。</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第四十一条：对外劳务合作企业未依照本条例规定缴存或者补足备用金的，由商务主管部门责令改正；拒不改正的，吊销其对外劳务合作经营资格证书。</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2</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对发卡企业开展单用途商业预付卡未按规定备案行为的处罚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第三十六条：发卡企业违反本办法第七条规定的，由违法行为发生地县级以上地方人民政府商务主管部门责令限期改正；逾期仍不改正的，处以1万元以上3万元以下罚款。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3</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对发卡企业或售卡企业违反单用途商业预付卡发行与服务相关规定行为的处罚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十四条：发卡企业或售卡企业应公示或向购卡人提供单用途卡章程，并应购卡人要求签订购卡协议。发卡企业或售卡企业应履行提示告知义务，确保购卡人知晓并认可单用途卡章程或协议内容。单用途卡章程和购卡协议应包括以下内容：（一）单用途卡的名称、种类和功能；（二）单用途卡购买、充值、使用、退卡方式，记名卡还应包括挂失、转让方式；（三）收费项目和标准；（四）当事人的权利、义务；（五）纠纷处理原则和违约责任；（六）相关法律法规规章和规范性文件规定的其他事项。第十五条：个人或单位购买（含充值，下同）记名卡的，或一次性购买1万元（含）以上不记名卡的，发卡企业或售卡企业应要求购卡人及其代理人出示有效身份证件，并留存购卡人及其代理人姓名或单位名称、有效身份证件号码和联系方式。个人有效身份证件包括居民身份证、户口簿、军人身份证件、武警身份证件、港澳台居民通行证、护照等。单位有效身份证件包括营业执照、事业单位法人证书、税务登记证、组织机构代码证等。</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第十六条：发卡企业和售卡企业应保存购卡人的登记信息5年以上。发卡企业和售卡企业应对购卡人及其代理人的身份信息和交易信息保密，除法律另有规定外，不得向第三方提供。</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七条：单位一次性购买单用途卡金额达5000元（含）以上或个人一次性购卡金额达5万元（含）以上的，以及单位或个人采用非现场方式购卡的，应通过银行转账，不得使用现金，发卡企业或售卡企业应对转出、转入账户名称、账号、金额等进行逐笔登记。发卡企业和售卡企业应严格按照国家有关规定开具发票。</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八条：单张记名卡限额不得超过5000元，单张不记名卡限额不得超过1000元。单张单用途卡充值后资金余额不得超过前款规定的限额。第十九条：记名卡不得设有效期；不记名卡有效期不得少于3年。发卡企业或售卡企业对超过有效期尚有资金余额的不记名卡应提供激活、换卡等配套服务。</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条：使用单用途卡购买商品后需要退货的，发卡企业或受理企业应将资金退至原卡。原单用途卡不存在或退货后卡内资金余额超过单用途卡限额的，应退回至持卡人在同一发卡企业的同类单用途卡内。退货金额不足100元（含）的，可支付现金。</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发卡企业或售卡企业应依单用途卡章程或协议约定，提供退卡服务。办理退卡时，发卡企业或售卡企业应要求退卡人出示有效身份证件，并留存退卡人姓名、有效身份证件号码、退卡卡号、金额等信息。发卡企业或售卡企业应将资金退至与退卡人同名的银行账户内，并留存银行账户信息。卡内资金余额不足100元（含）的，可支付现金。</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第二十二条：发卡企业终止兑付未到期单用途卡的，发卡企业和售卡企业应向持卡人提供免费退卡服务，并在终止兑付日前至少30日在备案机关指定的媒体上进行公示。</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第三十七条第一款：发卡企业或售卡企业违反本办法第十四条至第二十二条规定的，由违法行为发生地县级以上地方人民政府商务主管部门责令限期改正；逾期仍不改正的，处以1万元以上3万元以下罚款。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4</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对零售商存在违法促销行为的处罚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零售商促销行为管理办法》(2006年商务部、国家发展和改革委员会、公安部、国家税务总局、国家工商行政管理总局第18号令)第二十一条：各地商务、价格、税务、工商等部门依照法律法规及有关规定，在各自职责范围内对促销行为进行监督管理。对涉嫌犯罪的，由公安机关依法予以查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第二十二条：对违反本办法规定的行为任何单位和个人均可向上述单位举报，相关单位接到举报后，应当依法予以查处。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三条：零售商或者供应商违反本办法规定的，法律法规有规定的，从其规定；没有规定的，责令改正；有违法所得的，可处违法所得三倍以下罚款，但最高不超过三万元；没有违法所得的，可处一万元以下罚款；并可向社会予以公告。</w:t>
            </w:r>
          </w:p>
          <w:p>
            <w:pPr>
              <w:adjustRightInd w:val="0"/>
              <w:snapToGrid w:val="0"/>
              <w:spacing w:line="300" w:lineRule="exact"/>
              <w:ind w:firstLine="400" w:firstLineChars="200"/>
              <w:rPr>
                <w:rFonts w:eastAsia="仿宋_GB2312"/>
                <w:color w:val="000000" w:themeColor="text1"/>
                <w:kern w:val="0"/>
                <w:sz w:val="20"/>
                <w:szCs w:val="20"/>
              </w:rPr>
            </w:pP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5</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对违反洗染业管理相关规定行为的处罚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洗染业管理办法》(2007年商务部、国家工商行政管理总局、国家环境保护总局令第5号)第三条：商务部对全国洗染行业进行指导、协调、监督和管理，地方各级商务主管部门负责本行政区域内洗染行业指导、协调、监督和管理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二条：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6</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对违反美容美发业管理相关规定行为的处罚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美容美发业管理暂行办法》(2004年商务部令第19号)第十八条：各级商务主管部门对于违反本办法的美容美发经营者可以予以警告，令其限期改正；必要时，可以向社会公告。对依据有关法律、法规应予以处罚的，各级商务主管部门可以提请有关部门依法处罚。</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7</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对违反餐饮业经营管理相关规定行为的处罚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餐饮业经营管理办法（试行）》（2014年国商务部、国家发展和改革委员会令第4号）第三条：商务部负责全国餐饮行业管理工作，制定行业规划、政策和标准，开展行业统计，规范行业秩序。地方各级人民政府商务主管部门负责本行政区域内餐饮业行业管理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商务、价格等主管部门应当自作出行政处罚决定之日起20个工作日内，公开行政处罚决定书的主要内容，但行政处罚决定书中涉及国家秘密、商业秘密、个人隐私的内容依法不予公开。</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8</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违反家电维修服务业管理相关规定行为的处罚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【部门规章】《家电维修服务业管理办法》（2012年商务部令第7号）第九条：家电维修经营者和从业人员应恪守职业道德，不得有下列行为：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（一）虚列、夸大、伪造维修服务项目或内容；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（二）隐瞒、掩饰因维修服务导致用户产品损毁的事实；</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（三）虚报故障部件，故意替换性能正常的部件；</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（四）冒用家电生产者商标或特约维修标识。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四条：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1</w:t>
            </w:r>
            <w:r>
              <w:rPr>
                <w:rFonts w:hint="eastAsia" w:eastAsia="仿宋_GB2312"/>
                <w:color w:val="000000" w:themeColor="text1"/>
                <w:kern w:val="0"/>
                <w:sz w:val="20"/>
                <w:szCs w:val="20"/>
              </w:rPr>
              <w:t>9</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对从事旧电器电子产品收购的经营者未按规定进行产品收购登记和建立相关档案行为的处罚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旧电器电子产品流通管理办法》(2013年国商务部令第1号)第七条：经营者收购旧电器电子产品时应当对收购产品进行登记。登记信息应包括旧电器电子产品的品名、商标、型号、出售人原始购买凭证或者出售人身份信息等。</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第八条：经营者应当建立旧电器电子产品档案资料。档案资料应当包括产品的收购登记信息，质量性能状况、主要部件的维修、翻新情况和后配件的商标、生产者信息等情况。</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第十五条：旧电器电子产品市场应当建立旧电器电子经营者档案，如实记录市场内经营者身份信息和信用信息。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第十九条：经营者违反本办法第七条、第八条、第十五条规定的，由县级以上地方商务主管部门责令改正；逾期不改正的，可处二千元以上一万元以下罚款。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20</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对旧电器电子产品经营者未按规定进行产品标识标注、设立销售台账、提供合法的销售凭证和三包服务、履行保密义务和明示义务或未如实提供、报送相关信息和数据行为的处罚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旧电器电子产品流通管理办法》(2013年国商务部令第1号)第九条：经营者不得将在流通过程中获得的机关、企（事）业单位及个人信息用于与旧电器电子产品流通活动无关的领域。旧电器电子产品涉及商业秘密、个人隐私的，出售人应当在出售前妥善处置相关信息，经营者收购上述产品前应作出提示。退出使用的涉密旧电器电子产品的流通活动应当符合《保守国家秘密法》和国家有关保密规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第十一条：待售的旧电器电子产品应在显著位置标识为旧货。</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第十二条：经营者销售旧电器电子产品时，应当向购买者明示产品质量性能状况、主要部件维修、翻新等有关情况。严禁经营者以翻新产品冒充新产品出售。</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三条：经营者应当向购买者出具销售凭证或发票，并应当提供不少于3个月的免费包修服务，交易双方另有约定的除外。旧电器电子产品仍在三包有效期内的，经营者应依法履行三包责任。经营者应当设立销售台账，对销售情况进行如实、准确记录。</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八条：县级以上地方商务主管部门应当根据本地实际，建立定期检查及不定期抽查制度，及时发现和处理有关问题。经营者和旧电器电子产品市场应配合商务主管部门的监督检查，如实提供信息和材料。县级以上地方商务主管部门应当组织本行政区域内的行业统计工作，经营者应按照商务主管部门要求及时报送相关信息和数据。</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2</w:t>
            </w:r>
            <w:r>
              <w:rPr>
                <w:rFonts w:hint="eastAsia" w:eastAsia="仿宋_GB2312"/>
                <w:color w:val="000000" w:themeColor="text1"/>
                <w:kern w:val="0"/>
                <w:sz w:val="20"/>
                <w:szCs w:val="20"/>
              </w:rPr>
              <w:t>1</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对经营者违反规定收购、销售国家禁止的旧电器电子产品行为的处罚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旧电器电子产品流通管理办法》(2013年国商务部令第1号)第十条：禁止经营者收购下列旧电器电子产品：（一）依法查封、扣押的；二）明知是通过盗窃、抢劫、诈骗、走私或其他违法犯罪手段获得的；（三）不能说明合法来源的；（四）其他法律、行政法规禁止收购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四条：禁止经营者销售下列旧电器电子产品：（一）丧失全部使用功能或达到国家强制报废条件的；（二）不符合保障人体健康和人身、财产安全等强制性标准要求的；（三）其他法律、行政法规禁止销售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2</w:t>
            </w:r>
            <w:r>
              <w:rPr>
                <w:rFonts w:hint="eastAsia" w:eastAsia="仿宋_GB2312"/>
                <w:color w:val="000000" w:themeColor="text1"/>
                <w:kern w:val="0"/>
                <w:sz w:val="20"/>
                <w:szCs w:val="20"/>
              </w:rPr>
              <w:t>2</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对家庭服务机构未公开服务项目、收费标准和投诉监督电话的处罚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庭服务业管理暂行办法》（2012年商务部令第11号）第四条：商务部承担全国家庭服务业行业管理职责，负责监督管理家庭服务机构的服务质量，指导协调合同文本规范和服务矛盾纠纷处理工作。县级以上商务主管部门负责本行政区域内家庭服务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第九条：家庭服务机构应在经营场所醒目位置悬挂有关证照，公开服务项目、收费标准和投诉监督电话。</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第三十二条：家庭服务机构违反本办法第九条规定，未公开服务项目、收费标准和投诉监督电话的，由商务主管部门责令改正；拒不改正的，可处5000元以下罚款。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23</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对家庭服务机构未按规定建立工作管理制度及不妥善处理消费者和家庭服务员之间的投诉的处罚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庭服务业管理暂行办法》（2012年商务部令第11号）第四条：商务部承担全国家庭服务业行业管理职责，负责监督管理家庭服务机构的服务质量，指导协调合同文本规范和服务矛盾纠纷处理工作。县级以上商务主管部门负责本行政区域内家庭服务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第十条：家庭服务机构须建立家庭服务员工作档案，接受并协调消费者和家庭服务员投诉，建立家庭服务员服务质量跟踪管理制度。</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第三十三条：家庭服务机构违反本办法第十条规定，未按要求建立工作档案、跟踪管理制度，对消费者和家庭服务员之间的投诉不予妥善处理的，由商务主管部门责令改正；拒不改正的，可处2万元以下罚款。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24</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对家庭服务机构不按规定建立和报送经营档案信息的处罚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庭服务业管理暂行办法》（2012年商务部令第11号）第四条：商务部承担全国家庭服务业行业管理职责，负责监督管理家庭服务机构的服务质量，指导协调合同文本规范和服务矛盾纠纷处理工作。县级以上商务主管部门负责本行政区域内家庭服务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第十一条：家庭服务机构应按照县级以上商务主管部门要求及时准确地提供经营档案信息。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第二十六条：商务部建立家庭服务业信息报送系统。家庭服务机构应按要求及时报送经营情况信息，具体报送内容由商务部另行规定。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第三十四条：家庭服务机构违反本办法第十一条、第二十六条规定，未按要求提供信息的，由商务主管部门责令改正；拒不改正的，可处1万元以下罚款。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25</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对家庭服务机构违反规定提供家庭服务活动或不按规定管理家庭服务员行为的处罚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庭服务业管理暂行办法》（2012年商务部令第11号）第四条：商务部承担全国家庭服务业行业管理职责，负责监督管理家庭服务机构的服务质量，指导协调合同文本规范和服务矛盾纠纷处理工作。县级以上商务主管部门负责本行政区域内家庭服务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二条：家庭服务机构在家庭服务活动中不得有下列行为：（一）以低于成本价格或抬高价格等手段进行不正当竞争；（二）不按服务合同约定提供服务；（三）唆使家庭服务员哄抬价格或有意违约骗取服务费用；（四）发布虚假广告或隐瞒真实信息误导消费者；（五）利用家庭服务之便强行向消费者推销商品；（六）扣押、拖欠家庭服务员工资或收取高额管理费，以及其他损害家庭服务员合法权益的行为；（七）扣押家庭服务员身份、学历、资格证明等证件原件。（八）法律、法规禁止的其他行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五条：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26</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对未按要求订立家庭服务合同、拒绝家庭服务员获取家庭服务合同的处罚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家庭服务业管理暂行办法》（2012年商务部令第11号）第四条：商务部承担全国家庭服务业行业管理职责，负责监督管理家庭服务机构的服务质量，指导协调合同文本规范和服务矛盾纠纷处理工作。县级以上商务主管部门负责本行政区域内家庭服务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三条：从事家庭服务活动，家庭服务机构或家庭服务员应当与消费者以书面形式签订家庭服务合同。第十四条：家庭服务合同应至少包括以下内容：（一）家庭服务机构的名称、地址、负责人、联系方式和家庭服务员的姓名、身份证号码、健康状况、技能培训情况、联系方式等信息；消费者的姓名、身份证号码、住所、联系方式等信息；（二）服务地点、内容、方式和期限等；（三）服务费用及其支付形式；（四）各方权利与义务、违约责任与争议解决方式等。</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第十五条：家庭服务机构应当明确告知涉及家庭服务员利益的服务合同内容，应允许家庭服务员查阅、复印家庭服务合同，保护其合法权益。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六条：家庭服务机构违反本办法第十三条、第十四条、第十五条规定，未按要求订立家庭服务合同的，拒绝家庭服务员获取家庭服务合同的，由商务主管部门或有关部门责令改正；拒不改正的，可处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27</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对零售商供应商交易中不公平行为的处罚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零售商供应商公平交易管理办法》（2006年商务部、发展改革委、公安部、税务总局、工商总局第17号令）第二十一条：各地商务、价格、税务、工商等部门依照法律法规及本办法，在各自的职责范围内对本办法规定的行为进行监督管理。对涉嫌犯罪的，由公安机关依法予以查处。县级以上商务主管部门应会同同级有关部门对零售商供应商公平交易行为实行动态监测，进行风险预警，及时采取防范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第二十二条：对违反本办法规定的行为任何单位和个人均可向上述部门举报，相关部门接到举报后，应当依法予以查处。</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第二十四条：县级以上商务、价格、税务、工商等部门发现零售商涉嫌骗取供应商货款的，应当将其涉嫌犯罪的线索及时移送当地公安机关。公安机关应及时开展调查工作，涉嫌犯罪的，依法立案侦查。</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28</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对生活必需品销售和储运单位及其人员违反生活必需品市场供应应急管理规定行为的处罚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生活必需品市场供应应急管理办法》(2011年商务部令第4号)第三十八条：生活必需品销售和储运单位及其人员有下列行为之一的，由县级以上地方人民政府有关主管部门根据情节，依法责令改正、没收违法所得、罚款、警告；造成严重危害后果，构成犯罪的，提请司法机关依法追究刑事责任：（一）未按照规定履行市场异常波动报告职责，隐瞒、缓报、谎报或者漏报的；（二）未按照规定报送监测资料的；（三）购进、销售假冒伪劣商品及囤积居奇、哄抬物价的；（四）未按照规定及时采取组织货源等预防控制措施的；（五）拒绝服从商务主管部门调遣的；（六）拒绝、阻碍或者不配合现场调查、资料收集及监督检查的。</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29</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对经营公司未按相关规定办理劳务人员出国手续的处罚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办理劳务人员出国手续的办法》（2002年对外经贸部、外交部、公安部第2号令）第十七条：经营公司违反本办法的，由地方外经贸主管部门给予警告处罚，有违法所得的，处以人民币30000元以下罚款；无违法所得的，处以人民币10000元以下罚款。构成犯罪的，依法追究刑事责任。</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30</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对对外劳务合作企业未按规定安排劳务人员相关行为的处罚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四条：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二条：：对外劳务合作企业有下列情形之一的，由商务主管部门责令改正；拒不改正的，处5万元以上10万元以下的罚款，并对其主要负责人处1万元以上3万元以下的罚款：（一）未安排劳务人员接受培训，组织劳务人员赴国外工作；（二）未依照本条例规定为劳务人员购买在国外工作期间的人身意外伤害保险；（三）未依照本条例规定安排随行管理人员。</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1</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对对外劳务合作企业违规安排人员赴外工作和在国外发生突发事件时不及时处理相关行为的处罚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四条：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三条：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有前款第四项规定情形，构成犯罪的，依法追究刑事责任。</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1.立案阶段责任：设区的市级商务主管部门在发现或者接到举报有相关违法行为时，及时审查，决定是否立案；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2.调查阶段责任：全面、客观、公正地进行调查，收集、调取证据，商务执法人员不得少于两人，调查时出示执法证件，允许当事人辩解陈述并保守有关秘密，由当事人签署意见，签名或者盖章；</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3.审查阶段责任：对违法事实、证据、调查取证程序、法律适用、处罚种类和幅度、当事人陈述和申辩理由等方面进行全面审查，提出处理意见。此阶段若证据不足时，应将案件退回承办机构补充调查；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4.告知阶段责任：作出处理决定前，书面告知当事人违法实施及其享有的陈述申辩和要求举行听证等相关权力；</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根据案件审理情况和告知当事人后的陈述申辩理由决定是否予以行政处罚，确有应受行政处罚的违法行为的，根据情节轻重及具体情况，依法作出行政处罚决定。应当自立案之日起90内作出处理决定，并及时告知当事人处理结果及法律依据，案情复杂，不能限期结束的，经商务主管部门负责人批准后，可以适当延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6.送达阶段责任：行政处罚决定书应在7日内送达当事人；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监督当事人在决定的期限内，履行生效的行政处罚决定。当事人逾期不履行依法给予并已经生效的行政处罚时，根据案件具体情况，每日按罚款数额的百分之三加处罚款、根据法律规定，将查封、扣押的财物拍卖或者将冻结的存款划拨抵缴罚款、申请人民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8.其他法律法规政策规定应履行的责任。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2</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对对外劳务合作企业未按规定执行备案手续和未制定突发事件应急预案相关行为的处罚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四条：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五条：对外劳务合作企业有下列情形之一的，由商务主管部门责令改正；拒不改正的，处1万元以上2万元以下的罚款，并对其主要负责人处2000元以上5000元以下的罚款：（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33</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对违反商品现货市场交易相关规定行为的处罚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商品现货市场交易特别规定（试行）》（2013年商务部、中国人民银行、中国证券监督管理委员会令第3号）第十一条：市场经营者应当履行下列职责：（一）提供交易的场所、设施及相关服务；（二）按照本规定确定的交易方式和交易对象，建立健全交易、交收、结算、仓储、信息发布、风险控制、市场管理等业务规则与各项规章制度；（三）法律法规规定的其他职责。</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第十二条：市场经营者应当公开业务规则和规章制度。制定、修改和变更业务规则和规章制度，应当在合理时间内提前公示。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第十三条：商品现货市场应当制定应急预案。出现异常情况时，应当及时采取有效措施，防止出现市场风险。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第十四条：市场经营者应当采取合同约束、系统控制、强化内部管理等措施，加强资金管理力度。市场经营者不得以任何形式侵占或挪用交易者的资金。</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第十七条：市场经营者应当建立完善商品信息发布制度，公布交易商品的名称、数量、质量、规格、产地等相关信息，保证信息的真实、准确，不得发布虚假信息。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第十八条：采用现代信息化技术开展交易活动的，市场经营者应当实时记录商品仓储、交易、交收、结算、支付等相关信息，采取措施保证相关信息的完整和安全，并保存五年以上。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第十九条：市场经营者不得擅自篡改、销毁相关信息和资料。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第二十一条：市场经营者应当根据相关部门的要求报送有关经营信息与资料。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三条：市场经营者违反第十一条、第十二条、第十三条、第十四条、第十七条、第十八条、第十九条、第二十一条规定，由县级以上商务主管部门会同有关部门责令改正。逾期不改的，处一万元以上三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34</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对汽车销售、服务者违法经营的处罚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汽车销售管理办法》（2017年商务部令第1号）第十条：经销商应当在经营场所以适当形式明示销售汽车、配件及其他相关产品的价格和各项服务收费标准，不得在标价之外加价销售或收取额外费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第十一条：经销商应当在经营场所明示所出售的汽车产品质量保证、保修服务及消费者需知悉的其他售后服务政策，出售家用汽车产品的经销商还应当在经营场所明示家用汽车产品的“三包”信息。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第十二条：经销商出售未经供应商授权销售的汽车，或者未经境外汽车生产企业授权销售的进口汽车，应当以书面形式向消费者作出提醒和说明，并书面告知向消费者承担相关责任的主体。</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未经供应商授权或者授权终止的，经销商不得以供应商授权销售汽车的名义从事经营活动。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第十四条：供应商、经销商不得限定消费者户籍所在地，不得对消费者限定汽车配件、用品、金融、保险、救援等产品的提供商和售后服务商，但家用汽车产品“三包”</w:t>
            </w:r>
            <w:r>
              <w:rPr>
                <w:rFonts w:hint="eastAsia" w:eastAsia="仿宋_GB2312"/>
                <w:color w:val="000000" w:themeColor="text1"/>
                <w:spacing w:val="-4"/>
                <w:kern w:val="0"/>
                <w:sz w:val="20"/>
                <w:szCs w:val="20"/>
              </w:rPr>
              <w:t>服务、召回等由供应商承担费用时使用的配件和服务除外。</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经销商销售汽车时不得强制消费者购买保险或者强制为其提供代办车辆注册登记等服务。</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第十五条：经销商向消费者销售汽车时，应当核实登记消费者的有效身份证明，签订销售合同，并如实开具销售发票。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七条第一款：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八条：供应商、经销商应当建立健全消费者投诉制度，明确受理消费者投诉的具体部门和人员，并向消费者明示投诉渠道。投诉的受理、转交以及处理情况应当自收到投诉之日起7个工作日内通知投诉的消费者。</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第二十条：第二款供应商、经销商应当在本企业网站或经营场所公示与其合作的售后服务商名单。</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第二十一条：供应商不得限制配件生产商（进口产品为进口商）的销售对象，不得限制经销商、售后服务商转售配件，有关法律法规规章及其配套的规范性文件另有规定的除外。</w:t>
            </w:r>
          </w:p>
          <w:p>
            <w:pPr>
              <w:adjustRightInd w:val="0"/>
              <w:snapToGrid w:val="0"/>
              <w:spacing w:line="300" w:lineRule="exact"/>
              <w:ind w:firstLine="384" w:firstLineChars="200"/>
              <w:rPr>
                <w:rFonts w:eastAsia="仿宋_GB2312"/>
                <w:color w:val="000000" w:themeColor="text1"/>
                <w:kern w:val="0"/>
                <w:sz w:val="20"/>
                <w:szCs w:val="20"/>
              </w:rPr>
            </w:pPr>
            <w:r>
              <w:rPr>
                <w:rFonts w:hint="eastAsia" w:eastAsia="仿宋_GB2312"/>
                <w:color w:val="000000" w:themeColor="text1"/>
                <w:spacing w:val="-4"/>
                <w:kern w:val="0"/>
                <w:sz w:val="20"/>
                <w:szCs w:val="20"/>
              </w:rPr>
              <w:t>供应商应当及时向社会公布停产或者停止销售的车型，并保证其后至少10年的配件供应以及相应的售后服务。</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12758"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三条：第二款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第二十四条：供应商可以要求经销商为本企业品牌汽车设立单独展区，满足经营需要和维护品牌形象的基本功能，但不得对经销商实施下列行为：</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（一）要求同时具备销售、售后服务等功能；</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（二）规定整车、配件库存品种或数量，或者规定汽车销售数量，但双方在签署授权合同或合同延期时就上述内容书面达成一致的除外；</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（三）限制经营其他供应商商品；</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（四）限制为其他供应商的汽车提供配件及其他售后服务；</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（五）要求承担以汽车供应商名义实施的广告、车展等宣传推广费用，或者限定广告宣传方式和媒体；</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（六）限定不合理的经营场地面积、建筑物结构以及有偿设计单位、建筑单位、建筑材料、通用设备以及办公设施的品牌或者供应商；</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（七）搭售未订购的汽车、配件及其他商品；</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（八）干涉经销商人力资源和财务管理以及其他属于经销商自主经营范围内的活动；</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（九）限制本企业汽车产品经销商之间相互转售。</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第二十五条：供应商制定或实施营销奖励等商务政策应当遵循公平、公正、透明的原则。</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供应商应当向经销商明确商务政策的主要内容，对于临时性商务政策，应当提前以双方约定的方式告知；对于被解除授权的经销商，应当维护经销商在授权期间应有的权益，不得拒绝或延迟支付销售返利。</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第二十六条：除双方合同另有约定外,供应商在经销商获得授权销售区域内不得向消费者直接销售汽车。</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七条：供应商、经销商应当自取得营业执照之日起90日内通过国务院商务主管部门全国汽车流通信息管理系统备案基本信息。供应商、经销商备案的基本信息发生变更的，应当自信息变更之日起30日内完成信息更新。</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本办法实施以前已设立的供应商、经销商应当自本办法实施之日起90日内按前款规定备案基本信息。</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供应商、经销商应当按照国务院商务主管部门的要求，及时通过全国汽车流通信息管理系统报送汽车销售数量、种类等信息。</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第二十八条：经销商应当建立销售汽车、用户等信息档案，准确、及时地反映本区域销售动态、用户要求和其他相关信息。汽车销售、用户等信息档案保存期不得少于10年</w:t>
            </w:r>
          </w:p>
          <w:p>
            <w:pPr>
              <w:adjustRightInd w:val="0"/>
              <w:snapToGrid w:val="0"/>
              <w:spacing w:line="25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第三十三条：违反本办法第十一条、第十五条、第十八条、第二十条第二款、第二十七条、第二十八条有关规定的，由县级以上地方商务主管部门责令改正，并可给予警告或1万元以下罚款。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35</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对其他发卡企业违反单用途商业预付卡资金管理和信息报送相关规定行为的处罚</w:t>
            </w:r>
          </w:p>
          <w:p>
            <w:pPr>
              <w:adjustRightInd w:val="0"/>
              <w:snapToGrid w:val="0"/>
              <w:spacing w:line="300" w:lineRule="exact"/>
              <w:rPr>
                <w:rFonts w:eastAsia="仿宋_GB2312" w:cs="宋体"/>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第二十四条：发卡企业应对预收资金进行严格管理。预收资金只能用于发卡企业主营业务，不得用于不动产、股权、证券等投资及借贷。</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五条：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倍。集团发卡企业预收资金余额不得超过其上一会计年度本集团营业收入的30%。本办法所称预收资金是指发卡企业通过发行单用途卡所预收的资金总额，预收资金余额是指预收资金扣减已兑付商品或服务价款后的余额。</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第二十七条：规模发卡企业、集团发卡企业和品牌发卡企业应确定一个商业银行账户作为资金存管账户，并与存管银行签订资金存管协议。</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一条：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格式见附件3）。发卡企业填报的信息应当准确、真实、完整，不得故意隐瞒或虚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第三十七条第二款：发卡企业违反本办法第二十四条至第二十七条、第三十一条规定的，由备案机关责令限期改正；逾期仍不改正的，处以1万元以上3万元以下罚款。</w:t>
            </w:r>
          </w:p>
          <w:p>
            <w:pPr>
              <w:adjustRightInd w:val="0"/>
              <w:snapToGrid w:val="0"/>
              <w:spacing w:line="300" w:lineRule="exact"/>
              <w:ind w:firstLine="400" w:firstLineChars="200"/>
              <w:rPr>
                <w:rFonts w:eastAsia="仿宋_GB2312"/>
                <w:color w:val="000000" w:themeColor="text1"/>
                <w:kern w:val="0"/>
                <w:sz w:val="20"/>
                <w:szCs w:val="20"/>
              </w:rPr>
            </w:pP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noWrap/>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36</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对其他发卡企业未按规定建立业务处理系统并保障其运行质量相关行为的处罚</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2016年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九条：规模发卡企业、集团发卡企业和品牌发卡企业应在境内建立与发行单用途卡规模相适应的业务处理系统，并保障业务处理系统信息安全和运行质量。发生重大或不可恢复的技术故障时，规模发卡企业、集团发卡企业、品牌发卡企业应立即向备案机关报告。</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第三十八条：发卡企业违反本办法第二十九条（业务处理系统）规定，造成重大损失的，由备案机关处以1万元以上3万元以下罚款。</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1.立案阶段责任：发现涉嫌违法行为，应及时制止（对正在实施的违法行为，下达《责令停止违法行为通知书》），并予以审查，决定是否立案。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2.调查阶段责任：对立案的案件，指定专人负责，及时组织调查取证，与当事人有直接利害关系的应当回避。执法人员不得少于两人，调查时应出示执法证件，允许当事人辩解陈述。执法人员应保守有关秘密。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3.审查阶段责任：审理案件调查报告，对案件违法事实、证据、调查取证程序、法律适用、处罚种类和幅度、当事人陈述和申辩理由等方面进行审查，提出处理意见。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4.告知阶段责任：作出行政处罚决定前，告知违法事实及其享有的陈述、申辩等权利。符合听证规定的，告知当事人有要求举行听证的权利。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5.决定阶段责任：制作行政处罚决定书，载明行政处罚告知、当事人陈述申辩或者听证情况等内容。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6.送达阶段责任：行政处罚决定书按法律规定的方式送达当事人。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7.执行阶段责任：依照生效的行政处罚决定，监督当事人履行。当事人逾期不履行的，可依法采取加处罚款、申请法院强制执行等措施。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8.其他法律法规规章规定应履行的责任。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9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1.【法律】《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4—2.【法律】《中华人民共和国行政处罚法》第六十四条</w:t>
            </w:r>
            <w:r>
              <w:rPr>
                <w:rFonts w:eastAsia="仿宋_GB2312"/>
                <w:color w:val="000000" w:themeColor="text1"/>
                <w:kern w:val="0"/>
                <w:sz w:val="20"/>
                <w:szCs w:val="20"/>
              </w:rPr>
              <w:t>:</w:t>
            </w:r>
            <w:r>
              <w:rPr>
                <w:rFonts w:hint="eastAsia" w:eastAsia="仿宋_GB2312"/>
                <w:color w:val="000000" w:themeColor="text1"/>
                <w:kern w:val="0"/>
                <w:sz w:val="20"/>
                <w:szCs w:val="20"/>
              </w:rPr>
              <w:t>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法律】《中华人民共和国行政处罚法》第五十七条：对情节复杂或者重大违法行为给予行政处罚，行政机关负责人应当集体讨论决定。第五十九条：行政机关依照本法第五十七条的规定给予行政处罚，应当制作行政处罚决定书。</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adjustRightInd w:val="0"/>
              <w:snapToGrid w:val="0"/>
              <w:spacing w:line="29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7.【法律】《中华人民共和国行政处罚法》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567" w:type="dxa"/>
            <w:tcBorders>
              <w:top w:val="single" w:color="auto" w:sz="4" w:space="0"/>
              <w:left w:val="nil"/>
              <w:bottom w:val="single" w:color="auto" w:sz="4" w:space="0"/>
              <w:right w:val="single" w:color="auto" w:sz="4" w:space="0"/>
            </w:tcBorders>
            <w:noWrap/>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37</w:t>
            </w:r>
          </w:p>
        </w:tc>
        <w:tc>
          <w:tcPr>
            <w:tcW w:w="529"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行政强制</w:t>
            </w: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扣押易制毒化学品进出口相关证据材料、违法物品和查封有关场所</w:t>
            </w: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1.【行政法规】《易制毒化学品管理条例》(2005年国务院令第445号发布,2018年国务院令第703号修订）</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前款规定的行政主管部门在进行易制毒化学品监督检查时，可以依法查看现场、查阅和复制有关资料、记录有关情况、扣押相关的证据材料和违法物品；必要时，可以临时查封有关场所。</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部门规章】《易制毒化学品进出口管理规定》（2006年商务部令第7号,2015年商务部令第2号修订）第四条：县级以上商务主管部门负责本地区易制毒化学品进出口监督检查工作。第四十一条：县级以上商务主管部门应当按照本规定和其他有关法律、法规规定，严格履行对本地区易制毒化学品进出口的监督检查职责，依法查处违法行为。</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第四十二条：县级以上商务主管部门对经营者进行监督检查时，可以依法查看现场、查阅和复制有关资料、记录有关情况、扣押相关的证据材料和物品；必要时，可以临时查封有关场所。</w:t>
            </w:r>
          </w:p>
        </w:tc>
        <w:tc>
          <w:tcPr>
            <w:tcW w:w="369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1.取得批准责任：向行政机关负责人报告，由2名以上执法人员执行。</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2.告知责任：执法人员通知当事人到场且出示行政执法证件，当场告知当事人采取行政强制措施的理由、依据以及当事人依法想要的权利、救济途径，听取当事人的陈述和身边。</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3.决定阶段责任：做出行政强制决定。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4.执行阶段责任：执行并交付查封、扣押决定书和清单。</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5.其他法律法规规章文件应履行的责任。</w:t>
            </w:r>
          </w:p>
        </w:tc>
        <w:tc>
          <w:tcPr>
            <w:tcW w:w="7768"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【法律】《中华人民共和国行政强制法》第十八条：行政机关实施行政强制措施应当遵守下列规定：</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（一）实施前须向行政机关负责人报告并经批准；</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（二）由两名以上行政执法人员实施；</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（三）出示执法身份证件；</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（四）通知当事人到场；</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（五）当场告知当事人采取行政强制措施的理由、依据以及当事人依法享有的权利、救济途径；</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（六）听取当事人的陈述和申辩；</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（七）制作现场笔录；</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（八）现场笔录由当事人和行政执法人员签名或者盖章，当事人拒绝的，在笔录中予以注明；</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（九）当事人不到场的，邀请见证人到场，由见证人和行政执法人员在现场笔录上签名或者盖章；</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（十）法律、法规规定的其他程序。</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第二十四条：行政机关决定实施查封、扣押的，应当履行本法第十八条规定的程序，制作并当场交付查封、扣押决定书和清单。</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查封、扣押决定书应当载明下列事项：</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（一）当事人的姓名或者名称、地址；</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（二）查封、扣押的理由、依据和期限；</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（三）查封、扣押场所、设施或者财物的名称、数量等；</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（四）申请行政复议或者提起行政诉讼的途径和期限；</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（五）行政机关的名称、印章和日期。</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查封、扣押清单一式二份，由当事人和行政机关分别保存。</w:t>
            </w:r>
          </w:p>
        </w:tc>
        <w:tc>
          <w:tcPr>
            <w:tcW w:w="567" w:type="dxa"/>
            <w:tcBorders>
              <w:top w:val="single" w:color="auto" w:sz="4" w:space="0"/>
              <w:left w:val="nil"/>
              <w:bottom w:val="single" w:color="auto" w:sz="4" w:space="0"/>
              <w:right w:val="single" w:color="auto" w:sz="4" w:space="0"/>
            </w:tcBorders>
            <w:shd w:val="clear" w:color="auto" w:fill="auto"/>
            <w:noWrap/>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369"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38</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发卡企业和售卡企业单用途卡业务活动、内部控制和风险状况等监督检查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三十三条：商务部和地方人民政府商务主管部门应对发卡企业和售卡企业的单用途卡业务活动、内部控制和风险状况等进行定期或不定期的现场及非现场检查。发卡企业和售卡企业应配合商务主管部门的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第三十四条：商务部应建立健全“单用途商业预付卡业务信息系统”。地方人民政府商务主管部门应充分运用信息化手段加强对发卡企业的监督管理。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第三十五条：商务部和地方人民政府商务主管部门应通过12313商务举报投诉服务平台接受与本办法有关的举报和投诉。</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部门规章】《单用途商业预付卡管理办法（试行）》（2012年商务部令第9号公布，2016年商务部令第2号修正）第三十三条：商务部和地方人民政府商务主管部门应对发卡企业和售卡企业的单用途卡业务活动、内部控制和风险状况等进行定期或不定期的现场及非现场检查。发卡企业和售卡企业应配合商务主管部门的检查。</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第三十四条：商务部应建立健全“单用途商业预付卡业务信息系统”。地方人民政府商务主管部门应充分运用信息化手段加强对发卡企业的监督管理。</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26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6650" w:hRule="atLeast"/>
          <w:jc w:val="center"/>
        </w:trPr>
        <w:tc>
          <w:tcPr>
            <w:tcW w:w="334"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9</w:t>
            </w:r>
          </w:p>
        </w:tc>
        <w:tc>
          <w:tcPr>
            <w:tcW w:w="529"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报废机动车回收企业监督检查</w:t>
            </w:r>
          </w:p>
        </w:tc>
        <w:tc>
          <w:tcPr>
            <w:tcW w:w="93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报废机动车回收管理办法》（2019国务院令第715号）第十六条：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在监督检查中发现报废机动车回收企业不具备本办法规定的资质认定条件的，应当责令限期改正；拒不改正或者逾期未改正的，由原发证部门吊销资质认定书。</w:t>
            </w:r>
          </w:p>
        </w:tc>
        <w:tc>
          <w:tcPr>
            <w:tcW w:w="369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报废机动车回收管理办法》（2019年国务院令第715号）第十六条：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6006"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40</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商业特许经营监督检查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商业特许经营管理条例》（2007年国务院令第485号）第三条：本条例所称商业特许经营（以下简称特许经营），是指拥有注册商标、企业标志、专利、专有技术等经营资源的企业（以下称特许人），以合同形式将其拥有的经营资源许可其他经营者（以下称被特许人）使用，被特许人按照合同约定在统一的经营模式下开展经营，并向特许人支付特许经营费用的经营活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企业以外的其他单位和个人不得作为特许人从事特许经营活动。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商业特许经营管理条例》（2007年国务院令第485号）第五条：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6091"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4</w:t>
            </w:r>
            <w:r>
              <w:rPr>
                <w:rFonts w:hint="eastAsia" w:eastAsia="仿宋_GB2312"/>
                <w:color w:val="000000" w:themeColor="text1"/>
                <w:kern w:val="0"/>
                <w:sz w:val="20"/>
                <w:szCs w:val="20"/>
              </w:rPr>
              <w:t>1</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拍卖业监督检查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w:t>
            </w:r>
            <w:r>
              <w:rPr>
                <w:rFonts w:eastAsia="仿宋_GB2312"/>
                <w:color w:val="000000" w:themeColor="text1"/>
                <w:kern w:val="0"/>
                <w:sz w:val="20"/>
                <w:szCs w:val="20"/>
              </w:rPr>
              <w:t>.</w:t>
            </w:r>
            <w:r>
              <w:rPr>
                <w:rFonts w:hint="eastAsia" w:eastAsia="仿宋_GB2312"/>
                <w:color w:val="000000" w:themeColor="text1"/>
                <w:kern w:val="0"/>
                <w:sz w:val="20"/>
                <w:szCs w:val="20"/>
              </w:rPr>
              <w:t>【法律】《中华人民共和国拍卖法》第五条：国务院负责管理拍卖业的部门对全国拍卖业实施监督管理。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省、自治区、直辖市的人民政府和设区的市的人民政府负责管理拍卖业的部门对本行政区域内的拍卖业实施监督管理。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第十条：拍卖人是指依照本法和《中华人民共和国公司法》设立的从事拍卖活动的企业法人。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w:t>
            </w:r>
            <w:r>
              <w:rPr>
                <w:rFonts w:eastAsia="仿宋_GB2312"/>
                <w:color w:val="000000" w:themeColor="text1"/>
                <w:kern w:val="0"/>
                <w:sz w:val="20"/>
                <w:szCs w:val="20"/>
              </w:rPr>
              <w:t>.</w:t>
            </w:r>
            <w:r>
              <w:rPr>
                <w:rFonts w:hint="eastAsia" w:eastAsia="仿宋_GB2312"/>
                <w:color w:val="000000" w:themeColor="text1"/>
                <w:kern w:val="0"/>
                <w:sz w:val="20"/>
                <w:szCs w:val="20"/>
              </w:rPr>
              <w:t>【部门规章】《拍卖管理办法》（2004年商务部令第24号发布，2019年商务部令2第1号修正）第四条：商务部是拍卖行业主管部门，对全国拍卖业实施监督管理。省、自治区、直辖市人民政府（以下简称省级）和设区的市人民政府(以下简称市级)商务主管部门对本行政区域内的拍卖业实施监督管理。</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部门规章】《拍卖管理办法》（2004年商务部令第24号发布，2019年商务部令第1号修正）第四条：商务部是拍卖行业主管部门，对全国拍卖业实施监督管理。省、自治区、直辖市人民政府（以下简称省级）和设区的市人民政府(以下简称市级)商务主管部门对本行政区域内的拍卖业实施监督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6397"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4</w:t>
            </w:r>
            <w:r>
              <w:rPr>
                <w:rFonts w:hint="eastAsia" w:eastAsia="仿宋_GB2312"/>
                <w:color w:val="000000" w:themeColor="text1"/>
                <w:kern w:val="0"/>
                <w:sz w:val="20"/>
                <w:szCs w:val="20"/>
              </w:rPr>
              <w:t>2</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对外劳务合作监督检查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四条：县级以上地方人民政府商务主管部门负责本行政区域的对外劳务合作监督管理工作，其他有关部门在各自职责范围内负责对外劳务合作监督管理的相关工作。</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对外劳务合作管理条例》（2012年国务院令第620号）第四条：县级以上地方人民政府商务主管部门负责本行政区域的对外劳务合作监督管理工作，其他有关部门在各自职责范围内负责对外劳务合作监督管理的相关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5630"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43</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对餐饮行业开展反食品浪费相关行为的监督检查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餐饮业经营管理办法（试行）》（2014年商务部、国家发展和改革委员会令第4号）第十八条：县级以上地方商务主管部门应当定期对餐饮行业开展反食品浪费相关行为进行监督检查，并给予相应奖励或处罚。</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部门规章】《餐饮业经营管理办法（试行）》（2014年商务部、国家发展和改革委员会令第4号发布）第十八条：县级以上地方商务主管部门应当定期对餐饮行业开展反食品浪费相关行为进行监督检查，并给予相应奖励或处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7054"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44</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易制毒化学品进出口监督检查</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w:t>
            </w:r>
            <w:r>
              <w:rPr>
                <w:rFonts w:eastAsia="仿宋_GB2312"/>
                <w:color w:val="000000" w:themeColor="text1"/>
                <w:kern w:val="0"/>
                <w:sz w:val="20"/>
                <w:szCs w:val="20"/>
              </w:rPr>
              <w:t>.</w:t>
            </w:r>
            <w:r>
              <w:rPr>
                <w:rFonts w:hint="eastAsia" w:eastAsia="仿宋_GB2312"/>
                <w:color w:val="000000" w:themeColor="text1"/>
                <w:kern w:val="0"/>
                <w:sz w:val="20"/>
                <w:szCs w:val="20"/>
              </w:rPr>
              <w:t>【行政法规】《易制毒化学品管理条例》(2005年国务院令第445号发布,2018年国务院令第703号修订）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w:t>
            </w:r>
            <w:r>
              <w:rPr>
                <w:rFonts w:eastAsia="仿宋_GB2312"/>
                <w:color w:val="000000" w:themeColor="text1"/>
                <w:kern w:val="0"/>
                <w:sz w:val="20"/>
                <w:szCs w:val="20"/>
              </w:rPr>
              <w:t>.</w:t>
            </w:r>
            <w:r>
              <w:rPr>
                <w:rFonts w:hint="eastAsia" w:eastAsia="仿宋_GB2312"/>
                <w:color w:val="000000" w:themeColor="text1"/>
                <w:kern w:val="0"/>
                <w:sz w:val="20"/>
                <w:szCs w:val="20"/>
              </w:rPr>
              <w:t>【部门规章】《易制毒化学品进出口管理规定》（2006年商务部令第7号,2015年商务部令第2号修订）第四条：县级以上商务主管部门负责本地区易制毒化学品进出口监督检查工作。</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第四十一条：县级以上商务主管部门应当按照本规定和其他有关法律、法规规定，严格履行对本地区易制毒化学品进出口的监督检查职责，依法查处违法行为。</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第四十二条：县级以上商务主管部门对经营者进行监督检查时，可以依法查看现场、查阅和复制有关资料、记录有关情况、扣押相关的证据材料和物品；必要时，可以临时查封有关场所。</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1.选案阶段责任：根据举报或上级安排以及日常管理中发现的问题确定进行检查.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4.告知环节责任：对违法事实、处理依据、处理意见告知，听取当事人陈述申辩.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5.决定环节责任：根据违法事实以及当事人陈述意见作出处理决定，重大案件应组织集体审议.</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行政法规】《易制毒化学品管理条例》(2005年国务院令第445号发布,2018年国务院令第703号修订）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2.【法律】参照《中华人民共和国行政处罚法》（2021年修正）</w:t>
            </w:r>
            <w:r>
              <w:rPr>
                <w:rFonts w:eastAsia="仿宋_GB2312"/>
                <w:color w:val="000000" w:themeColor="text1"/>
                <w:kern w:val="0"/>
                <w:sz w:val="20"/>
                <w:szCs w:val="20"/>
              </w:rPr>
              <w:t>第四十二条</w:t>
            </w:r>
            <w:r>
              <w:rPr>
                <w:rFonts w:hint="eastAsia" w:eastAsia="仿宋_GB2312"/>
                <w:color w:val="000000" w:themeColor="text1"/>
                <w:kern w:val="0"/>
                <w:sz w:val="20"/>
                <w:szCs w:val="20"/>
              </w:rPr>
              <w:t>：</w:t>
            </w:r>
            <w:r>
              <w:rPr>
                <w:rFonts w:eastAsia="仿宋_GB2312"/>
                <w:color w:val="000000" w:themeColor="text1"/>
                <w:kern w:val="0"/>
                <w:sz w:val="20"/>
                <w:szCs w:val="20"/>
              </w:rPr>
              <w:t>行政处罚应当由具有行政执法资格的执法人员实施。执法人员不得少于两人，法律另有规定的除外</w:t>
            </w:r>
            <w:r>
              <w:rPr>
                <w:rFonts w:hint="eastAsia" w:eastAsia="仿宋_GB2312"/>
                <w:color w:val="000000" w:themeColor="text1"/>
                <w:kern w:val="0"/>
                <w:sz w:val="20"/>
                <w:szCs w:val="20"/>
              </w:rPr>
              <w:t>。</w:t>
            </w:r>
            <w:r>
              <w:rPr>
                <w:rFonts w:eastAsia="仿宋_GB2312"/>
                <w:color w:val="000000" w:themeColor="text1"/>
                <w:kern w:val="0"/>
                <w:sz w:val="20"/>
                <w:szCs w:val="20"/>
              </w:rPr>
              <w:br w:type="textWrapping"/>
            </w:r>
            <w:r>
              <w:rPr>
                <w:rFonts w:eastAsia="仿宋_GB2312"/>
                <w:color w:val="000000" w:themeColor="text1"/>
                <w:kern w:val="0"/>
                <w:sz w:val="20"/>
                <w:szCs w:val="20"/>
              </w:rPr>
              <w:t>  第四十三条</w:t>
            </w:r>
            <w:r>
              <w:rPr>
                <w:rFonts w:hint="eastAsia" w:eastAsia="仿宋_GB2312"/>
                <w:color w:val="000000" w:themeColor="text1"/>
                <w:kern w:val="0"/>
                <w:sz w:val="20"/>
                <w:szCs w:val="20"/>
              </w:rPr>
              <w:t>：</w:t>
            </w:r>
            <w:r>
              <w:rPr>
                <w:rFonts w:eastAsia="仿宋_GB2312"/>
                <w:color w:val="000000" w:themeColor="text1"/>
                <w:kern w:val="0"/>
                <w:sz w:val="20"/>
                <w:szCs w:val="20"/>
              </w:rPr>
              <w:t>执法人员与案件有直接利害关系或者有其他关系可能影响公正执法的，应当回避。</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3.【法律】参照《中华人民共和国行政处罚法》（2021年修正）</w:t>
            </w:r>
            <w:r>
              <w:rPr>
                <w:rFonts w:eastAsia="仿宋_GB2312"/>
                <w:color w:val="000000" w:themeColor="text1"/>
                <w:kern w:val="0"/>
                <w:sz w:val="20"/>
                <w:szCs w:val="20"/>
              </w:rPr>
              <w:t>第四十四条</w:t>
            </w:r>
            <w:r>
              <w:rPr>
                <w:rFonts w:hint="eastAsia" w:eastAsia="仿宋_GB2312"/>
                <w:color w:val="000000" w:themeColor="text1"/>
                <w:kern w:val="0"/>
                <w:sz w:val="20"/>
                <w:szCs w:val="20"/>
              </w:rPr>
              <w:t>：</w:t>
            </w:r>
            <w:r>
              <w:rPr>
                <w:rFonts w:eastAsia="仿宋_GB2312"/>
                <w:color w:val="000000" w:themeColor="text1"/>
                <w:kern w:val="0"/>
                <w:sz w:val="20"/>
                <w:szCs w:val="20"/>
              </w:rPr>
              <w:t>行政机关在作出行政处罚决定之前，应当告知当事人拟作出的行政处罚内容及事实、理由、依据，并告知当事人依法享有的陈述、申辩、要求听证等权利。</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4.【法律】参照《中华人民共和国行政处罚法》（2021年修正）</w:t>
            </w:r>
            <w:r>
              <w:rPr>
                <w:rFonts w:eastAsia="仿宋_GB2312"/>
                <w:color w:val="000000" w:themeColor="text1"/>
                <w:kern w:val="0"/>
                <w:sz w:val="20"/>
                <w:szCs w:val="20"/>
              </w:rPr>
              <w:t>第五十七条</w:t>
            </w:r>
            <w:r>
              <w:rPr>
                <w:rFonts w:hint="eastAsia" w:eastAsia="仿宋_GB2312"/>
                <w:color w:val="000000" w:themeColor="text1"/>
                <w:kern w:val="0"/>
                <w:sz w:val="20"/>
                <w:szCs w:val="20"/>
              </w:rPr>
              <w:t>：</w:t>
            </w:r>
            <w:r>
              <w:rPr>
                <w:rFonts w:eastAsia="仿宋_GB2312"/>
                <w:color w:val="000000" w:themeColor="text1"/>
                <w:kern w:val="0"/>
                <w:sz w:val="20"/>
                <w:szCs w:val="20"/>
              </w:rPr>
              <w:t>调查终结，行政机关负责人应当对调查结果进行审查，根据不同情况，分别作出如下决定：</w:t>
            </w:r>
            <w:r>
              <w:rPr>
                <w:rFonts w:eastAsia="仿宋_GB2312"/>
                <w:color w:val="000000" w:themeColor="text1"/>
                <w:kern w:val="0"/>
                <w:sz w:val="20"/>
                <w:szCs w:val="20"/>
              </w:rPr>
              <w:br w:type="textWrapping"/>
            </w:r>
            <w:r>
              <w:rPr>
                <w:rFonts w:eastAsia="仿宋_GB2312"/>
                <w:color w:val="000000" w:themeColor="text1"/>
                <w:kern w:val="0"/>
                <w:sz w:val="20"/>
                <w:szCs w:val="20"/>
              </w:rPr>
              <w:t>  （一）确有应受行政处罚的违法行为的，根据情节轻重及具体情况，作出行政处罚决定；</w:t>
            </w:r>
            <w:r>
              <w:rPr>
                <w:rFonts w:eastAsia="仿宋_GB2312"/>
                <w:color w:val="000000" w:themeColor="text1"/>
                <w:kern w:val="0"/>
                <w:sz w:val="20"/>
                <w:szCs w:val="20"/>
              </w:rPr>
              <w:br w:type="textWrapping"/>
            </w:r>
            <w:r>
              <w:rPr>
                <w:rFonts w:eastAsia="仿宋_GB2312"/>
                <w:color w:val="000000" w:themeColor="text1"/>
                <w:kern w:val="0"/>
                <w:sz w:val="20"/>
                <w:szCs w:val="20"/>
              </w:rPr>
              <w:t>  （二）违法行为轻微，依法可以不予行政处罚的，不予行政处罚；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  （三）违法事实不能成立的，不予行政处罚；</w:t>
            </w:r>
            <w:r>
              <w:rPr>
                <w:rFonts w:eastAsia="仿宋_GB2312"/>
                <w:color w:val="000000" w:themeColor="text1"/>
                <w:kern w:val="0"/>
                <w:sz w:val="20"/>
                <w:szCs w:val="20"/>
              </w:rPr>
              <w:br w:type="textWrapping"/>
            </w:r>
            <w:r>
              <w:rPr>
                <w:rFonts w:eastAsia="仿宋_GB2312"/>
                <w:color w:val="000000" w:themeColor="text1"/>
                <w:kern w:val="0"/>
                <w:sz w:val="20"/>
                <w:szCs w:val="20"/>
              </w:rPr>
              <w:t>  （四）违法行为涉嫌犯罪的，移送司法机关。</w:t>
            </w:r>
            <w:r>
              <w:rPr>
                <w:rFonts w:eastAsia="仿宋_GB2312"/>
                <w:color w:val="000000" w:themeColor="text1"/>
                <w:kern w:val="0"/>
                <w:sz w:val="20"/>
                <w:szCs w:val="20"/>
              </w:rPr>
              <w:br w:type="textWrapping"/>
            </w:r>
            <w:r>
              <w:rPr>
                <w:rFonts w:eastAsia="仿宋_GB2312"/>
                <w:color w:val="000000" w:themeColor="text1"/>
                <w:kern w:val="0"/>
                <w:sz w:val="20"/>
                <w:szCs w:val="20"/>
              </w:rPr>
              <w:t>  对情节复杂或者重大违法行为给予行政处罚，行政机关负责人应当集体讨论决定。</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8033" w:hRule="atLeast"/>
          <w:jc w:val="center"/>
        </w:trPr>
        <w:tc>
          <w:tcPr>
            <w:tcW w:w="334"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45</w:t>
            </w:r>
          </w:p>
        </w:tc>
        <w:tc>
          <w:tcPr>
            <w:tcW w:w="529"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行政确认</w:t>
            </w: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自由进出口技术合同登记</w:t>
            </w:r>
          </w:p>
        </w:tc>
        <w:tc>
          <w:tcPr>
            <w:tcW w:w="93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w:t>
            </w:r>
            <w:r>
              <w:rPr>
                <w:rFonts w:eastAsia="仿宋_GB2312"/>
                <w:color w:val="000000" w:themeColor="text1"/>
                <w:kern w:val="0"/>
                <w:sz w:val="20"/>
                <w:szCs w:val="20"/>
              </w:rPr>
              <w:t>.</w:t>
            </w:r>
            <w:r>
              <w:rPr>
                <w:rFonts w:hint="eastAsia" w:eastAsia="仿宋_GB2312"/>
                <w:color w:val="000000" w:themeColor="text1"/>
                <w:kern w:val="0"/>
                <w:sz w:val="20"/>
                <w:szCs w:val="20"/>
              </w:rPr>
              <w:t>【法律】《中华人民共和国对外贸易法》第十五条第三款：进出口属于自由进出口的技术，应当向国务院对外贸易主管部门或者其委托的机构办理合同备案登记。</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w:t>
            </w:r>
            <w:r>
              <w:rPr>
                <w:rFonts w:eastAsia="仿宋_GB2312"/>
                <w:color w:val="000000" w:themeColor="text1"/>
                <w:kern w:val="0"/>
                <w:sz w:val="20"/>
                <w:szCs w:val="20"/>
              </w:rPr>
              <w:t>.</w:t>
            </w:r>
            <w:r>
              <w:rPr>
                <w:rFonts w:hint="eastAsia" w:eastAsia="仿宋_GB2312"/>
                <w:color w:val="000000" w:themeColor="text1"/>
                <w:kern w:val="0"/>
                <w:sz w:val="20"/>
                <w:szCs w:val="20"/>
              </w:rPr>
              <w:t>【行政法规】《中华人民共和国技术进出口管理条例》（2001年国务院令第331号发布，2019年国务院令第709号修订）第十七条第一款：对属于自由进口的技术，实行合同登记管理。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w:t>
            </w:r>
            <w:r>
              <w:rPr>
                <w:rFonts w:eastAsia="仿宋_GB2312"/>
                <w:color w:val="000000" w:themeColor="text1"/>
                <w:kern w:val="0"/>
                <w:sz w:val="20"/>
                <w:szCs w:val="20"/>
              </w:rPr>
              <w:t>.</w:t>
            </w:r>
            <w:r>
              <w:rPr>
                <w:rFonts w:hint="eastAsia" w:eastAsia="仿宋_GB2312"/>
                <w:color w:val="000000" w:themeColor="text1"/>
                <w:kern w:val="0"/>
                <w:sz w:val="20"/>
                <w:szCs w:val="20"/>
              </w:rPr>
              <w:t>【部门规章】《技术进出口合同登记管理办法》（2009年商务部令第3号）第五条：各省、自治区、直辖市和计划单列市商务主管部门负责对本办法第四条以外的自由进出口技术合同进行登记管理。中央管理企业的自由进出口技术合同，按属地原则到各省、自治区、直辖市和计划单列市商务主管部门办理登记。各省、自治区、直辖市和计划单列市商务主管部门可授权下一级商务主管部门对自由进出口技术合同进行登记管理。</w:t>
            </w:r>
          </w:p>
          <w:p>
            <w:pPr>
              <w:adjustRightInd w:val="0"/>
              <w:snapToGrid w:val="0"/>
              <w:spacing w:line="30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4.</w:t>
            </w:r>
            <w:r>
              <w:rPr>
                <w:rFonts w:hint="eastAsia" w:eastAsia="仿宋_GB2312"/>
                <w:color w:val="000000" w:themeColor="text1"/>
                <w:kern w:val="0"/>
                <w:sz w:val="20"/>
                <w:szCs w:val="20"/>
              </w:rPr>
              <w:t>【规范性文件】《自治区商务厅关于下放自由类技术进出口合同登记管理权限的通知》（桂商加贸发﹝2016﹞18号）：经请示商务部同意，自治区商务厅将自由类技术进出口合同登记管理权限下放至各市商务局（委），由市商务局向企业颁发《技术进出口合同登记证书》要加盖各市商务局（委）的行政公章。</w:t>
            </w:r>
          </w:p>
        </w:tc>
        <w:tc>
          <w:tcPr>
            <w:tcW w:w="369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1.受理责任：应将事项的条件、程序、范围等情况公开，对相对人申请资格、材料规范、完整及有效等方面进行审查，并依法做出是否受理的决定。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2.审核（决定）责任：对申请材料的真实性、合法性和有效性进行审查，并依法做出相应的决定。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3.监管责任：对行政工作人员进行依法执法情况开展监督检查。</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4.其他法律法规规章文件规定应履行的责任。</w:t>
            </w:r>
          </w:p>
        </w:tc>
        <w:tc>
          <w:tcPr>
            <w:tcW w:w="7768"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部门规章】《技术进出口合同登记管理办法》（商务部令2009年第3号）第八条：国家对自由进出口技术合同实行网上在线登记管理。技术进出口经营者应登陆商务部政府网站上的"技术进出口合同信息管理系统"(网址：jsjckqy.fwmys.mofcom.gov.cn)进行合同登记，并持技术进（出）口合同登记申请书、技术进（出）口合同副本（包括中文译本）和签约双方法律地位的证明文件，到商务主管部门履行登记手续。商务主管部门在收到上述文件起3个工作日内，对合同登记内容进行核对，并向技术进出口经营者颁发《技术进口合同登记证》或《技术出口合同登记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部门规章】《技术进出口合同登记管理办法》（商务部令2009年第3号）第九条：对申请文件不符合《中华人民共和国技术进出口管理条例》第十八条、第四十条规定要求或登记记录与合同内容不一致的，商务主管部门应当在收到申请文件的3个工作日内通知技术进出口经营者补正、修改，并在收到补正的申请文件起3个工作日内，对合同登记的内容进行核对，颁发《技术进口合同登记证》或《技术出口合同登记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3.同2.</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部门规章】《技术进出口合同登记管理办法》（商务部令2009年第3号）第十五条：各级商务主管部门应加强对技术进出口合同登记管理部门和人员的管理，建立健全合同登记岗位责任制，加强业务培训和考核。</w:t>
            </w:r>
          </w:p>
        </w:tc>
        <w:tc>
          <w:tcPr>
            <w:tcW w:w="567"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4385"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46</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行政奖励</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对参加生活必需品市场异常波动应急处理作出贡献的单位和人员的奖励</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【部门规章】《生活必需品市场供应应急管理办法》（2011年商务部令第4号）第七条：县级以上商务主管部门，可对参加市场异常波动应急处理作出贡献的单位和人员，给予表彰和奖励。</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1.前期阶段责任：收集整理在参加生活必需品市场异常波动应急处理工作中作出贡献的组织或者个人相关材料，及时呈报处理。</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2.审查阶段责任：审查材料的真伪及作用，提出审查意见。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3.决定阶段责任：决定是否对在生活必需品市场异常波动应急处理作出贡献组织或者个人的奖励标准和方式。</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4.执行阶段责任：兑现奖励。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1.【部门规章】《生活必需品市场供应应急管理办法》（2011年商务部令第4号）第七条：县级以上商务主管部门，可对参加市场异常波动应急处理作出贡献的单位和人员，给予表彰和奖励。</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2.同1.</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3.同1.</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4.同1.</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7153"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47</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其他行政权力</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对外劳务服务（劳动）合同、劳务合作合同副本及劳务人员名单备案</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w:t>
            </w:r>
            <w:r>
              <w:rPr>
                <w:rFonts w:eastAsia="仿宋_GB2312"/>
                <w:color w:val="000000" w:themeColor="text1"/>
                <w:kern w:val="0"/>
                <w:sz w:val="20"/>
                <w:szCs w:val="20"/>
              </w:rPr>
              <w:t>.</w:t>
            </w:r>
            <w:r>
              <w:rPr>
                <w:rFonts w:hint="eastAsia" w:eastAsia="仿宋_GB2312"/>
                <w:color w:val="000000" w:themeColor="text1"/>
                <w:kern w:val="0"/>
                <w:sz w:val="20"/>
                <w:szCs w:val="20"/>
              </w:rPr>
              <w:t>【行政法规】《对外劳务合作管理条例》（2012年国务院令第620号）第五条：从事对外劳务合作，应当按照省、自治区、直辖市人民政府的规定，经省级或者设区的市级人民政府商务主管部门批准，取得对外劳务合作经营资格。</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二十六条：对外劳务合作企业应当自与劳务人员订立服务合同或者劳动合同之日起10个工作日内，将服务合同或者劳动合同、劳务合作合同副本以及劳务人员名单报负责审批的商务主管部门备案。负责审批的商务主管部门应当将用工项目、国外雇主的有关信息以及劳务人员名单报至国务院商务主管部门。商务主管部门发现服务合同或者劳动合同、劳务合作合同未依照本条例规定载明必备事项的，应当要求对外劳务合作企业补正。</w:t>
            </w:r>
          </w:p>
          <w:p>
            <w:pPr>
              <w:widowControl/>
              <w:spacing w:line="300" w:lineRule="exact"/>
              <w:ind w:firstLine="400" w:firstLineChars="200"/>
              <w:jc w:val="left"/>
              <w:rPr>
                <w:rFonts w:eastAsia="仿宋_GB2312"/>
                <w:color w:val="000000" w:themeColor="text1"/>
                <w:kern w:val="0"/>
                <w:sz w:val="20"/>
                <w:szCs w:val="20"/>
              </w:rPr>
            </w:pPr>
            <w:r>
              <w:rPr>
                <w:rFonts w:hint="eastAsia" w:eastAsia="仿宋_GB2312"/>
                <w:color w:val="000000" w:themeColor="text1"/>
                <w:kern w:val="0"/>
                <w:sz w:val="20"/>
                <w:szCs w:val="20"/>
              </w:rPr>
              <w:t>2</w:t>
            </w:r>
            <w:r>
              <w:rPr>
                <w:rFonts w:eastAsia="仿宋_GB2312"/>
                <w:color w:val="000000" w:themeColor="text1"/>
                <w:kern w:val="0"/>
                <w:sz w:val="20"/>
                <w:szCs w:val="20"/>
              </w:rPr>
              <w:t>.</w:t>
            </w:r>
            <w:r>
              <w:rPr>
                <w:rFonts w:hint="eastAsia" w:eastAsia="仿宋_GB2312"/>
                <w:color w:val="000000" w:themeColor="text1"/>
                <w:kern w:val="0"/>
                <w:sz w:val="20"/>
                <w:szCs w:val="20"/>
              </w:rPr>
              <w:t>【规范性文件】《广西壮族自治区人民政府关于取消下放调整一批行政审批项目的决定》（桂政发﹝2014﹞69号）附件2第48条款：</w:t>
            </w:r>
            <w:r>
              <w:rPr>
                <w:rFonts w:hint="eastAsia" w:eastAsia="仿宋_GB2312" w:cs="宋体"/>
                <w:color w:val="000000" w:themeColor="text1"/>
                <w:kern w:val="0"/>
                <w:sz w:val="20"/>
                <w:szCs w:val="20"/>
              </w:rPr>
              <w:t>对外劳务服务（劳动）合同、劳务合作合同副本及劳务人员名单备案</w:t>
            </w:r>
            <w:r>
              <w:rPr>
                <w:rFonts w:hint="eastAsia" w:eastAsia="仿宋_GB2312"/>
                <w:color w:val="000000" w:themeColor="text1"/>
                <w:kern w:val="0"/>
                <w:sz w:val="20"/>
                <w:szCs w:val="20"/>
              </w:rPr>
              <w:t>，将自治区管理权限委托下放设区市商务行政主管部门实施。</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1.受理阶段责任：依法受理；不予受理的书面告知理由；一次性告知补正材料。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2.审查阶段责任：对初审材料进行审核，提出初审意见。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3.备案阶段责任：企业提交的备案材料齐全，准予备案；不符合的，不予备案并书面告知企业。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4.事后监管阶段责任：协助处理对外劳务合作突发事件。</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行政法规】《对外劳务合作管理条例》（2012年国务院令第620号）第二十六条：对外劳务合作企业应当自与劳务人员订立服务合同或者劳动合同之日起10个工作日内，将服务合同或者劳动合同、劳务合作合同副本以及劳务人员名单报负责审批的商务主管部门备案。负责审批的商务主管部门应当将用工项目、国外雇主的有关信息以及劳务人员名单报至国务院商务主管部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3.同2。</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行政法规】《对外劳务合作管理条例》（2012年国务院令第620号）第三十六条：国务院有关部门、有关县级以上地方人民政府应当建立健全对外劳务合作突发事件预警、防范和应急处置机制，制定对外劳务合作突发事件应急预案。对外劳务合作突发事件应急处置由组织劳务人员赴国外工作的单位或者个人所在地的省、自治区、直辖市人民政府负责，劳务人员户籍所在地的省、自治区、直辖市人民政府予以配合。</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5419" w:hRule="atLeast"/>
          <w:jc w:val="center"/>
        </w:trPr>
        <w:tc>
          <w:tcPr>
            <w:tcW w:w="334"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48</w:t>
            </w:r>
          </w:p>
        </w:tc>
        <w:tc>
          <w:tcPr>
            <w:tcW w:w="529"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其他行政权力</w:t>
            </w: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对外劳务合作企业停止开展对外劳务合作后对其派出的尚在国外工作的劳务人员安排方案的备案</w:t>
            </w:r>
          </w:p>
        </w:tc>
        <w:tc>
          <w:tcPr>
            <w:tcW w:w="93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行政法规】《对外劳务合作管理条例》（2012年国务院令第620号）第五条：从事对外劳务合作，应当按照省、自治区、直辖市人民政府的规定，经省级或者设区的市级人民政府商务主管部门批准，取得对外劳务合作经营资格。</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第十九条：对外劳务合作企业停止开展对外劳务合作的，应当对其派出的尚在国外工作的劳务人员作出妥善安排，并将安排方案报负责审批的商务主管部门备案。负责审批的商务主管部门应当将安排方案报至国务院商务主管部门，国务院商务主管部门应当及时通报中国驻用工项目所在国使馆、领馆。</w:t>
            </w:r>
          </w:p>
        </w:tc>
        <w:tc>
          <w:tcPr>
            <w:tcW w:w="3691"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1.受理阶段责任：依法受理；不予受理的书面告知理由；一次性告知补正材料。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2.审查阶段责任：对初审材料进行审核，提出初审意见。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3.备案阶段责任：企业提交的备案材料齐全，准予备案；不符合的，不予备案并书面告知企业。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4.事后监管阶段责任：协助处理对外劳务合作突发事件。</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5.其他法律法规规章文件规定应履行的责任。</w:t>
            </w:r>
          </w:p>
        </w:tc>
        <w:tc>
          <w:tcPr>
            <w:tcW w:w="7768"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行政法规】《对外劳务合作管理条例》（2012年国务院令第620号）第十九条：对外劳务合作企业停止开展对外劳务合作的，应当对其派出的尚在国外工作的劳务人员作出妥善安排，并将安排方案报负责审批的商务主管部门备案。负责审批的商务主管部门应当将安排方案报至国务院商务主管部门，国务院商务主管部门应当及时通报中国驻用工项目所在国使馆、领馆。</w:t>
            </w:r>
          </w:p>
        </w:tc>
        <w:tc>
          <w:tcPr>
            <w:tcW w:w="567" w:type="dxa"/>
            <w:tcBorders>
              <w:top w:val="single" w:color="auto" w:sz="4" w:space="0"/>
              <w:left w:val="nil"/>
              <w:bottom w:val="single" w:color="auto" w:sz="4" w:space="0"/>
              <w:right w:val="single" w:color="auto" w:sz="4" w:space="0"/>
            </w:tcBorders>
            <w:shd w:val="clear" w:color="auto" w:fill="FFFFFF"/>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6237"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hint="eastAsia" w:eastAsia="仿宋_GB2312"/>
                <w:color w:val="000000" w:themeColor="text1"/>
                <w:kern w:val="0"/>
                <w:sz w:val="20"/>
                <w:szCs w:val="20"/>
              </w:rPr>
              <w:t>4</w:t>
            </w:r>
            <w:r>
              <w:rPr>
                <w:rFonts w:eastAsia="仿宋_GB2312"/>
                <w:color w:val="000000" w:themeColor="text1"/>
                <w:kern w:val="0"/>
                <w:sz w:val="20"/>
                <w:szCs w:val="20"/>
              </w:rPr>
              <w:t>9</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其他行政权力</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单用途商业预付卡规模发卡企业备案</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市、县级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1.受理阶段责任：依法受理；不予受理的书面告知理由；一次性告知补正材料。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2.审查阶段责任：对初审材料进行审核，提出初审意见。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3.备案阶段责任：企业提交的备案材料齐全，准予备案；不符合的，不予备案并书面告知企业。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4.信息公开责任：定期公告已备案企业名录。</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3.【部门规章】《单用途商业预付卡管理办法（试行）》（2012年商务部令第9号公布，2016年商务部令第2号修正）第八条：发卡企业应向备案机关提交下列材料：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（一）《单用途卡发卡企业备案表》；</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（二）《企业法人营业执照》（副本）复印件；</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发卡企业为外商投资企业的，还应提交外商投资企业批准证书复印件。</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部门规章】《单用途商业预付卡管理办法（试行）》（2012年商务部令第9号公布，2016年商务部令第2号修正）第十一条：备案机关对已备案的发卡企业予以编号，并在商务部和备案机关指定的媒体上公告，提供公众查询服务。</w:t>
            </w: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r>
        <w:tblPrEx>
          <w:tblCellMar>
            <w:top w:w="0" w:type="dxa"/>
            <w:left w:w="28" w:type="dxa"/>
            <w:bottom w:w="0" w:type="dxa"/>
            <w:right w:w="28" w:type="dxa"/>
          </w:tblCellMar>
        </w:tblPrEx>
        <w:trPr>
          <w:trHeight w:val="6237" w:hRule="atLeast"/>
          <w:jc w:val="center"/>
        </w:trPr>
        <w:tc>
          <w:tcPr>
            <w:tcW w:w="3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olor w:val="000000" w:themeColor="text1"/>
                <w:kern w:val="0"/>
                <w:sz w:val="20"/>
                <w:szCs w:val="20"/>
              </w:rPr>
            </w:pPr>
            <w:r>
              <w:rPr>
                <w:rFonts w:eastAsia="仿宋_GB2312"/>
                <w:color w:val="000000" w:themeColor="text1"/>
                <w:kern w:val="0"/>
                <w:sz w:val="20"/>
                <w:szCs w:val="20"/>
              </w:rPr>
              <w:t>50</w:t>
            </w:r>
          </w:p>
        </w:tc>
        <w:tc>
          <w:tcPr>
            <w:tcW w:w="52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jc w:val="center"/>
              <w:rPr>
                <w:rFonts w:eastAsia="仿宋_GB2312" w:cs="宋体"/>
                <w:color w:val="000000" w:themeColor="text1"/>
                <w:kern w:val="0"/>
                <w:sz w:val="20"/>
                <w:szCs w:val="20"/>
              </w:rPr>
            </w:pPr>
            <w:r>
              <w:rPr>
                <w:rFonts w:hint="eastAsia" w:eastAsia="仿宋_GB2312" w:cs="宋体"/>
                <w:color w:val="000000" w:themeColor="text1"/>
                <w:kern w:val="0"/>
                <w:sz w:val="20"/>
                <w:szCs w:val="20"/>
              </w:rPr>
              <w:t>其他行政权力</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对外贸易经营者备案登记</w:t>
            </w: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c>
          <w:tcPr>
            <w:tcW w:w="93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s="宋体"/>
                <w:color w:val="000000" w:themeColor="text1"/>
                <w:kern w:val="0"/>
                <w:sz w:val="20"/>
                <w:szCs w:val="20"/>
              </w:rPr>
            </w:pPr>
            <w:r>
              <w:rPr>
                <w:rFonts w:hint="eastAsia" w:eastAsia="仿宋_GB2312" w:cs="宋体"/>
                <w:color w:val="000000" w:themeColor="text1"/>
                <w:kern w:val="0"/>
                <w:sz w:val="20"/>
                <w:szCs w:val="20"/>
              </w:rPr>
              <w:t>市级</w:t>
            </w:r>
          </w:p>
        </w:tc>
        <w:tc>
          <w:tcPr>
            <w:tcW w:w="5493"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1.【法律】《中华人民共和国对外贸易法》第九条：从事货物进出口或者技术进出口的对外贸易经营者，应当向国务院对外贸易主管部门或者其委托的机构办理备案登记。</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2.【规范性文件】《广西壮族自治区人民政府关于取消和下放一批行政审批项目的决定》（桂政发</w:t>
            </w:r>
            <w:r>
              <w:rPr>
                <w:rFonts w:hint="eastAsia" w:ascii="宋体" w:hAnsi="宋体" w:cs="宋体"/>
                <w:color w:val="000000" w:themeColor="text1"/>
                <w:kern w:val="0"/>
                <w:sz w:val="20"/>
                <w:szCs w:val="20"/>
              </w:rPr>
              <w:t>﹝</w:t>
            </w:r>
            <w:r>
              <w:rPr>
                <w:rFonts w:hint="eastAsia" w:eastAsia="仿宋_GB2312"/>
                <w:color w:val="000000" w:themeColor="text1"/>
                <w:kern w:val="0"/>
                <w:sz w:val="20"/>
                <w:szCs w:val="20"/>
              </w:rPr>
              <w:t>2013</w:t>
            </w:r>
            <w:r>
              <w:rPr>
                <w:rFonts w:hint="eastAsia" w:ascii="宋体" w:hAnsi="宋体" w:cs="宋体"/>
                <w:color w:val="000000" w:themeColor="text1"/>
                <w:kern w:val="0"/>
                <w:sz w:val="20"/>
                <w:szCs w:val="20"/>
              </w:rPr>
              <w:t>﹞</w:t>
            </w:r>
            <w:r>
              <w:rPr>
                <w:rFonts w:hint="eastAsia" w:eastAsia="仿宋_GB2312"/>
                <w:color w:val="000000" w:themeColor="text1"/>
                <w:kern w:val="0"/>
                <w:sz w:val="20"/>
                <w:szCs w:val="20"/>
              </w:rPr>
              <w:t>44号）附件2第93号条款：委托设区市商务行政主管部门、部分县（市、区）商务行政主管部门实施。</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3.【规范性文件】《自治区商务厅关于进一步明确对外贸易经营者备案登记下放范围的通知》（桂商审发〔2015〕2号）</w:t>
            </w:r>
          </w:p>
        </w:tc>
        <w:tc>
          <w:tcPr>
            <w:tcW w:w="369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1.受理阶段责任：依法受理；不予受理的书面告知理由；一次性告知补正材料。</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2.审查阶段责任：对材料进行审核，提出意见。</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3.决定阶段责任：作出准予备案或不予备案的决定。</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4.送达阶段责任：制发、送达《对外贸易经营者备案登记证明》，公开信息。</w:t>
            </w:r>
          </w:p>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5.其他法律法规规章文件规定应履行的责任。</w:t>
            </w:r>
          </w:p>
        </w:tc>
        <w:tc>
          <w:tcPr>
            <w:tcW w:w="776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ind w:firstLine="400" w:firstLineChars="200"/>
              <w:rPr>
                <w:rFonts w:eastAsia="仿宋_GB2312"/>
                <w:color w:val="000000" w:themeColor="text1"/>
                <w:kern w:val="0"/>
                <w:sz w:val="20"/>
                <w:szCs w:val="20"/>
              </w:rPr>
            </w:pPr>
            <w:r>
              <w:rPr>
                <w:rFonts w:hint="eastAsia" w:eastAsia="仿宋_GB2312"/>
                <w:color w:val="000000" w:themeColor="text1"/>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w:t>
            </w:r>
          </w:p>
          <w:p>
            <w:pPr>
              <w:adjustRightInd w:val="0"/>
              <w:snapToGrid w:val="0"/>
              <w:spacing w:line="30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2</w:t>
            </w:r>
            <w:r>
              <w:rPr>
                <w:rFonts w:hint="eastAsia" w:eastAsia="仿宋_GB2312"/>
                <w:color w:val="000000" w:themeColor="text1"/>
                <w:kern w:val="0"/>
                <w:sz w:val="20"/>
                <w:szCs w:val="20"/>
              </w:rPr>
              <w:t>.【部门规章】《对外贸易经营者备案登记办法》（2004年商务部令第14号发布，2019年商务部令第1号修正）第五条：对外贸易经营者备案登记的程序……</w:t>
            </w:r>
          </w:p>
          <w:p>
            <w:pPr>
              <w:adjustRightInd w:val="0"/>
              <w:snapToGrid w:val="0"/>
              <w:spacing w:line="30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3</w:t>
            </w:r>
            <w:r>
              <w:rPr>
                <w:rFonts w:hint="eastAsia" w:eastAsia="仿宋_GB2312"/>
                <w:color w:val="000000" w:themeColor="text1"/>
                <w:kern w:val="0"/>
                <w:sz w:val="20"/>
                <w:szCs w:val="20"/>
              </w:rPr>
              <w:t>.【部门规章】《对外贸易经营者备案登记办法》（2004年商务部令第14号发布，2019年商务部令第1号修正）第六条：备案登记机关应自收到对外贸易经营者提交的上述材料之日起5日内办理备案登记手续，在《登记表》上加盖备案登记印章。</w:t>
            </w:r>
          </w:p>
          <w:p>
            <w:pPr>
              <w:adjustRightInd w:val="0"/>
              <w:snapToGrid w:val="0"/>
              <w:spacing w:line="300" w:lineRule="exact"/>
              <w:ind w:firstLine="400" w:firstLineChars="200"/>
              <w:rPr>
                <w:rFonts w:eastAsia="仿宋_GB2312"/>
                <w:color w:val="000000" w:themeColor="text1"/>
                <w:kern w:val="0"/>
                <w:sz w:val="20"/>
                <w:szCs w:val="20"/>
              </w:rPr>
            </w:pPr>
            <w:r>
              <w:rPr>
                <w:rFonts w:eastAsia="仿宋_GB2312"/>
                <w:color w:val="000000" w:themeColor="text1"/>
                <w:kern w:val="0"/>
                <w:sz w:val="20"/>
                <w:szCs w:val="20"/>
              </w:rPr>
              <w:t>4</w:t>
            </w:r>
            <w:r>
              <w:rPr>
                <w:rFonts w:hint="eastAsia" w:eastAsia="仿宋_GB2312"/>
                <w:color w:val="000000" w:themeColor="text1"/>
                <w:kern w:val="0"/>
                <w:sz w:val="20"/>
                <w:szCs w:val="20"/>
              </w:rPr>
              <w:t>.【部门规章】《对外贸易经营者备案登记办法》（2004年商务部令第14号发布，2019年商务部令第1号修正）第七条：备案登记机关在完成备案登记手续的同时，应当完整准确地记录和保存对外贸易经营者的备案登记信息和登记材料，依法建立备案登记档案。</w:t>
            </w:r>
          </w:p>
          <w:p>
            <w:pPr>
              <w:adjustRightInd w:val="0"/>
              <w:snapToGrid w:val="0"/>
              <w:spacing w:line="300" w:lineRule="exact"/>
              <w:ind w:firstLine="400" w:firstLineChars="200"/>
              <w:rPr>
                <w:rFonts w:eastAsia="仿宋_GB2312"/>
                <w:color w:val="000000" w:themeColor="text1"/>
                <w:kern w:val="0"/>
                <w:sz w:val="20"/>
                <w:szCs w:val="20"/>
              </w:rPr>
            </w:pPr>
          </w:p>
        </w:tc>
        <w:tc>
          <w:tcPr>
            <w:tcW w:w="567"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00" w:lineRule="exact"/>
              <w:rPr>
                <w:rFonts w:eastAsia="仿宋_GB2312"/>
                <w:color w:val="000000" w:themeColor="text1"/>
                <w:kern w:val="0"/>
                <w:sz w:val="20"/>
                <w:szCs w:val="20"/>
              </w:rPr>
            </w:pPr>
          </w:p>
        </w:tc>
      </w:tr>
    </w:tbl>
    <w:p>
      <w:pPr>
        <w:rPr>
          <w:color w:val="000000" w:themeColor="text1"/>
        </w:rPr>
      </w:pPr>
    </w:p>
    <w:sectPr>
      <w:footerReference r:id="rId3" w:type="default"/>
      <w:pgSz w:w="23814" w:h="16839" w:orient="landscape"/>
      <w:pgMar w:top="1418" w:right="1361" w:bottom="1418" w:left="1361" w:header="851"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32"/>
        <w:szCs w:val="32"/>
      </w:rPr>
    </w:pPr>
    <w:r>
      <w:rPr>
        <w:sz w:val="32"/>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798319"/>
                  <w:docPartObj>
                    <w:docPartGallery w:val="autotext"/>
                  </w:docPartObj>
                </w:sdtPr>
                <w:sdtEndPr>
                  <w:rPr>
                    <w:sz w:val="32"/>
                    <w:szCs w:val="32"/>
                  </w:rPr>
                </w:sdtEndPr>
                <w:sdtContent>
                  <w:p>
                    <w:pPr>
                      <w:pStyle w:val="2"/>
                      <w:jc w:val="center"/>
                      <w:rPr>
                        <w:sz w:val="32"/>
                        <w:szCs w:val="32"/>
                      </w:rPr>
                    </w:pPr>
                    <w:r>
                      <w:rPr>
                        <w:rStyle w:val="6"/>
                        <w:rFonts w:ascii="宋体" w:hAnsi="宋体"/>
                        <w:sz w:val="32"/>
                        <w:szCs w:val="32"/>
                      </w:rPr>
                      <w:t>—</w:t>
                    </w:r>
                    <w:r>
                      <w:rPr>
                        <w:rStyle w:val="6"/>
                        <w:rFonts w:hint="eastAsia" w:ascii="宋体" w:hAnsi="宋体"/>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3062</w:t>
                    </w:r>
                    <w:r>
                      <w:rPr>
                        <w:sz w:val="32"/>
                        <w:szCs w:val="32"/>
                      </w:rPr>
                      <w:fldChar w:fldCharType="end"/>
                    </w:r>
                    <w:r>
                      <w:rPr>
                        <w:rFonts w:hint="eastAsia"/>
                        <w:sz w:val="32"/>
                        <w:szCs w:val="32"/>
                      </w:rPr>
                      <w:t xml:space="preserve"> </w:t>
                    </w:r>
                    <w:r>
                      <w:rPr>
                        <w:rStyle w:val="6"/>
                        <w:rFonts w:ascii="宋体" w:hAnsi="宋体"/>
                        <w:sz w:val="32"/>
                        <w:szCs w:val="32"/>
                      </w:rPr>
                      <w:t>—</w:t>
                    </w:r>
                  </w:p>
                </w:sdtContent>
              </w:sdt>
              <w:p>
                <w:pPr>
                  <w:rPr>
                    <w:sz w:val="32"/>
                    <w:szCs w:val="3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482F"/>
    <w:rsid w:val="00006B8B"/>
    <w:rsid w:val="000144CD"/>
    <w:rsid w:val="0002452B"/>
    <w:rsid w:val="00066BD6"/>
    <w:rsid w:val="00122B03"/>
    <w:rsid w:val="00143D52"/>
    <w:rsid w:val="00206903"/>
    <w:rsid w:val="002E48D6"/>
    <w:rsid w:val="00314DF8"/>
    <w:rsid w:val="003233E4"/>
    <w:rsid w:val="003426DD"/>
    <w:rsid w:val="004F1A10"/>
    <w:rsid w:val="005541A0"/>
    <w:rsid w:val="005A5C2C"/>
    <w:rsid w:val="006D57D8"/>
    <w:rsid w:val="007C7F4B"/>
    <w:rsid w:val="007F0413"/>
    <w:rsid w:val="009136EC"/>
    <w:rsid w:val="0099653C"/>
    <w:rsid w:val="009D051C"/>
    <w:rsid w:val="00A7482F"/>
    <w:rsid w:val="00AB78D2"/>
    <w:rsid w:val="00BE2057"/>
    <w:rsid w:val="00C5714D"/>
    <w:rsid w:val="00D75199"/>
    <w:rsid w:val="00DC5F8E"/>
    <w:rsid w:val="00E26D33"/>
    <w:rsid w:val="00E7250D"/>
    <w:rsid w:val="00EA0FFB"/>
    <w:rsid w:val="033FB38A"/>
    <w:rsid w:val="0A3B1E24"/>
    <w:rsid w:val="1BD74A6C"/>
    <w:rsid w:val="1D7FBD77"/>
    <w:rsid w:val="28E94C0A"/>
    <w:rsid w:val="2BBFEC68"/>
    <w:rsid w:val="2CADCDAC"/>
    <w:rsid w:val="2CEFFD30"/>
    <w:rsid w:val="2D7BF51F"/>
    <w:rsid w:val="2DF7620D"/>
    <w:rsid w:val="2DFE1B1B"/>
    <w:rsid w:val="2DFF4537"/>
    <w:rsid w:val="2FD79C63"/>
    <w:rsid w:val="2FFFC11E"/>
    <w:rsid w:val="33F5EDA4"/>
    <w:rsid w:val="36EE43C7"/>
    <w:rsid w:val="37BBC561"/>
    <w:rsid w:val="39D78337"/>
    <w:rsid w:val="3BB5AEFF"/>
    <w:rsid w:val="3C3EC02C"/>
    <w:rsid w:val="3CE7AE20"/>
    <w:rsid w:val="3E5F328A"/>
    <w:rsid w:val="3EDA0F48"/>
    <w:rsid w:val="3EFE0062"/>
    <w:rsid w:val="3FFB2687"/>
    <w:rsid w:val="3FFF258E"/>
    <w:rsid w:val="45E989CF"/>
    <w:rsid w:val="4FCD7836"/>
    <w:rsid w:val="5B97432E"/>
    <w:rsid w:val="5EBB0DEA"/>
    <w:rsid w:val="5F3F5AB2"/>
    <w:rsid w:val="5F77A1BA"/>
    <w:rsid w:val="5FBD228C"/>
    <w:rsid w:val="5FCF96F3"/>
    <w:rsid w:val="5FF1A438"/>
    <w:rsid w:val="63FBDC0C"/>
    <w:rsid w:val="67EB7765"/>
    <w:rsid w:val="67FB39C6"/>
    <w:rsid w:val="69C7E19C"/>
    <w:rsid w:val="6AEF3730"/>
    <w:rsid w:val="6BDF67BD"/>
    <w:rsid w:val="6DFD50B2"/>
    <w:rsid w:val="6DFFEA57"/>
    <w:rsid w:val="6EA7A921"/>
    <w:rsid w:val="6F6FCBAF"/>
    <w:rsid w:val="6F9D7A6D"/>
    <w:rsid w:val="6FF7B423"/>
    <w:rsid w:val="6FFF0A2B"/>
    <w:rsid w:val="6FFF3A21"/>
    <w:rsid w:val="71FE52F1"/>
    <w:rsid w:val="7267348B"/>
    <w:rsid w:val="755F2B3E"/>
    <w:rsid w:val="76EDDF61"/>
    <w:rsid w:val="76FDB482"/>
    <w:rsid w:val="77EF8DC1"/>
    <w:rsid w:val="79E627C8"/>
    <w:rsid w:val="79FC5627"/>
    <w:rsid w:val="7B3CAA0A"/>
    <w:rsid w:val="7BD60319"/>
    <w:rsid w:val="7BEED320"/>
    <w:rsid w:val="7BFC1797"/>
    <w:rsid w:val="7BFF93C2"/>
    <w:rsid w:val="7C7E3781"/>
    <w:rsid w:val="7DB9CA78"/>
    <w:rsid w:val="7DE1F59D"/>
    <w:rsid w:val="7DF67C93"/>
    <w:rsid w:val="7EBB13E5"/>
    <w:rsid w:val="7EBB7C48"/>
    <w:rsid w:val="7EDA46C4"/>
    <w:rsid w:val="7EFD7F7D"/>
    <w:rsid w:val="7F398001"/>
    <w:rsid w:val="7F6BF1F9"/>
    <w:rsid w:val="7F7D5C7F"/>
    <w:rsid w:val="7F8F04A9"/>
    <w:rsid w:val="7F93F2CD"/>
    <w:rsid w:val="7FAE5A9B"/>
    <w:rsid w:val="7FC450CB"/>
    <w:rsid w:val="7FE65410"/>
    <w:rsid w:val="7FEF660E"/>
    <w:rsid w:val="7FEF9A0B"/>
    <w:rsid w:val="7FFC9093"/>
    <w:rsid w:val="7FFCD2F5"/>
    <w:rsid w:val="7FFF4A6E"/>
    <w:rsid w:val="7FFFBB1E"/>
    <w:rsid w:val="7FFFC771"/>
    <w:rsid w:val="7FFFF78A"/>
    <w:rsid w:val="8BD72582"/>
    <w:rsid w:val="9D9B7895"/>
    <w:rsid w:val="9DED2EF0"/>
    <w:rsid w:val="AD7EB236"/>
    <w:rsid w:val="AEC5C3D6"/>
    <w:rsid w:val="BB77D2B5"/>
    <w:rsid w:val="BF6350C3"/>
    <w:rsid w:val="BFB7B8E7"/>
    <w:rsid w:val="BFBE108C"/>
    <w:rsid w:val="BFFBEE92"/>
    <w:rsid w:val="C1F78A93"/>
    <w:rsid w:val="C3FBA083"/>
    <w:rsid w:val="C67CF2E7"/>
    <w:rsid w:val="C9F9FE2D"/>
    <w:rsid w:val="D7D7A91B"/>
    <w:rsid w:val="DBEF8027"/>
    <w:rsid w:val="DBFB1B03"/>
    <w:rsid w:val="DDF8904D"/>
    <w:rsid w:val="DE6E4B18"/>
    <w:rsid w:val="DECE4DC4"/>
    <w:rsid w:val="DF37F7ED"/>
    <w:rsid w:val="DFFB3EE5"/>
    <w:rsid w:val="DFFB8CCF"/>
    <w:rsid w:val="DFFBC59C"/>
    <w:rsid w:val="DFFF068D"/>
    <w:rsid w:val="E4CE2666"/>
    <w:rsid w:val="E97316F6"/>
    <w:rsid w:val="ED39503F"/>
    <w:rsid w:val="EDB0ACD7"/>
    <w:rsid w:val="EE777450"/>
    <w:rsid w:val="EEFB7D4C"/>
    <w:rsid w:val="EEFFC511"/>
    <w:rsid w:val="EF7F0C7F"/>
    <w:rsid w:val="F5B783B9"/>
    <w:rsid w:val="F5BBD49B"/>
    <w:rsid w:val="F6E13760"/>
    <w:rsid w:val="F6FFFA75"/>
    <w:rsid w:val="F7CDAE11"/>
    <w:rsid w:val="F7F7D644"/>
    <w:rsid w:val="F7FD1690"/>
    <w:rsid w:val="F7FFF915"/>
    <w:rsid w:val="F9975FA2"/>
    <w:rsid w:val="F9D78A5B"/>
    <w:rsid w:val="FA7B22BD"/>
    <w:rsid w:val="FADA9738"/>
    <w:rsid w:val="FAFD2348"/>
    <w:rsid w:val="FB77FE48"/>
    <w:rsid w:val="FB8E66E3"/>
    <w:rsid w:val="FB9E79EA"/>
    <w:rsid w:val="FB9EC5A4"/>
    <w:rsid w:val="FD3DE1FA"/>
    <w:rsid w:val="FDFFA506"/>
    <w:rsid w:val="FEC7D06C"/>
    <w:rsid w:val="FF754827"/>
    <w:rsid w:val="FF96EB1C"/>
    <w:rsid w:val="FFBD8BD1"/>
    <w:rsid w:val="FFBFC74C"/>
    <w:rsid w:val="FFC56734"/>
    <w:rsid w:val="FFE74173"/>
    <w:rsid w:val="FFFB3850"/>
    <w:rsid w:val="FFFD49A9"/>
    <w:rsid w:val="FFFF7150"/>
    <w:rsid w:val="FFFFE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qFormat/>
    <w:uiPriority w:val="99"/>
    <w:pPr>
      <w:tabs>
        <w:tab w:val="center" w:pos="4153"/>
        <w:tab w:val="right" w:pos="8306"/>
      </w:tabs>
      <w:snapToGrid w:val="0"/>
      <w:jc w:val="left"/>
    </w:pPr>
    <w:rPr>
      <w:sz w:val="18"/>
      <w:szCs w:val="18"/>
    </w:rPr>
  </w:style>
  <w:style w:type="paragraph" w:styleId="3">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qFormat/>
    <w:uiPriority w:val="0"/>
    <w:rPr>
      <w:color w:val="0563C1"/>
      <w:u w:val="single"/>
    </w:rPr>
  </w:style>
  <w:style w:type="character" w:customStyle="1" w:styleId="8">
    <w:name w:val="font51"/>
    <w:qFormat/>
    <w:uiPriority w:val="0"/>
    <w:rPr>
      <w:rFonts w:hint="default" w:ascii="Times New Roman" w:hAnsi="Times New Roman" w:cs="Times New Roman"/>
      <w:color w:val="000000"/>
      <w:sz w:val="20"/>
      <w:szCs w:val="20"/>
      <w:u w:val="none"/>
    </w:rPr>
  </w:style>
  <w:style w:type="character" w:customStyle="1" w:styleId="9">
    <w:name w:val="font11"/>
    <w:qFormat/>
    <w:uiPriority w:val="0"/>
    <w:rPr>
      <w:rFonts w:hint="eastAsia" w:ascii="宋体" w:hAnsi="宋体" w:eastAsia="宋体" w:cs="宋体"/>
      <w:color w:val="000000"/>
      <w:sz w:val="20"/>
      <w:szCs w:val="20"/>
      <w:u w:val="none"/>
    </w:rPr>
  </w:style>
  <w:style w:type="character" w:customStyle="1" w:styleId="10">
    <w:name w:val="font81"/>
    <w:qFormat/>
    <w:uiPriority w:val="0"/>
    <w:rPr>
      <w:rFonts w:hint="default" w:ascii="Times New Roman" w:hAnsi="Times New Roman" w:cs="Times New Roman"/>
      <w:b/>
      <w:color w:val="000000"/>
      <w:sz w:val="20"/>
      <w:szCs w:val="20"/>
      <w:u w:val="none"/>
    </w:rPr>
  </w:style>
  <w:style w:type="character" w:customStyle="1" w:styleId="11">
    <w:name w:val="font91"/>
    <w:qFormat/>
    <w:uiPriority w:val="0"/>
    <w:rPr>
      <w:rFonts w:hint="eastAsia" w:ascii="宋体" w:hAnsi="宋体" w:eastAsia="宋体" w:cs="宋体"/>
      <w:color w:val="000000"/>
      <w:sz w:val="20"/>
      <w:szCs w:val="20"/>
      <w:u w:val="none"/>
    </w:rPr>
  </w:style>
  <w:style w:type="character" w:customStyle="1" w:styleId="12">
    <w:name w:val="font71"/>
    <w:qFormat/>
    <w:uiPriority w:val="0"/>
    <w:rPr>
      <w:rFonts w:hint="eastAsia" w:ascii="宋体" w:hAnsi="宋体" w:eastAsia="宋体" w:cs="宋体"/>
      <w:strike/>
      <w:color w:val="000000"/>
      <w:sz w:val="20"/>
      <w:szCs w:val="20"/>
    </w:rPr>
  </w:style>
  <w:style w:type="character" w:customStyle="1" w:styleId="13">
    <w:name w:val="font31"/>
    <w:qFormat/>
    <w:uiPriority w:val="0"/>
    <w:rPr>
      <w:rFonts w:hint="eastAsia" w:ascii="宋体" w:hAnsi="宋体" w:eastAsia="宋体" w:cs="宋体"/>
      <w:i/>
      <w:color w:val="000000"/>
      <w:sz w:val="20"/>
      <w:szCs w:val="20"/>
      <w:u w:val="none"/>
    </w:rPr>
  </w:style>
  <w:style w:type="character" w:customStyle="1" w:styleId="14">
    <w:name w:val="font41"/>
    <w:qFormat/>
    <w:uiPriority w:val="0"/>
    <w:rPr>
      <w:rFonts w:hint="eastAsia" w:ascii="宋体" w:hAnsi="宋体" w:eastAsia="宋体" w:cs="宋体"/>
      <w:b/>
      <w:color w:val="000000"/>
      <w:sz w:val="20"/>
      <w:szCs w:val="20"/>
      <w:u w:val="none"/>
    </w:rPr>
  </w:style>
  <w:style w:type="character" w:customStyle="1" w:styleId="15">
    <w:name w:val="未处理的提及"/>
    <w:unhideWhenUsed/>
    <w:qFormat/>
    <w:uiPriority w:val="99"/>
    <w:rPr>
      <w:color w:val="605E5C"/>
      <w:shd w:val="clear" w:color="auto" w:fill="E1DFDD"/>
    </w:rPr>
  </w:style>
  <w:style w:type="character" w:customStyle="1" w:styleId="16">
    <w:name w:val="页眉 Char"/>
    <w:basedOn w:val="5"/>
    <w:link w:val="3"/>
    <w:qFormat/>
    <w:uiPriority w:val="0"/>
    <w:rPr>
      <w:rFonts w:ascii="Times New Roman" w:hAnsi="Times New Roman" w:eastAsia="宋体" w:cs="Times New Roman"/>
      <w:sz w:val="18"/>
      <w:szCs w:val="18"/>
    </w:rPr>
  </w:style>
  <w:style w:type="character" w:customStyle="1" w:styleId="1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15675</Words>
  <Characters>89348</Characters>
  <Lines>744</Lines>
  <Paragraphs>209</Paragraphs>
  <TotalTime>0</TotalTime>
  <ScaleCrop>false</ScaleCrop>
  <LinksUpToDate>false</LinksUpToDate>
  <CharactersWithSpaces>104814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2022-02-18T11:36:00Z</dcterms:created>
  <dc:creator>Lenovo9</dc:creator>
  <cp:lastModifiedBy>gxxc</cp:lastModifiedBy>
  <cp:lastPrinted>2023-01-16T19:08:00Z</cp:lastPrinted>
  <dcterms:modified xsi:type="dcterms:W3CDTF">2025-01-15T16:20:39Z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